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highlight w:val="none"/>
          <w:lang w:eastAsia="zh-CN"/>
        </w:rPr>
      </w:pPr>
      <w:r>
        <w:rPr>
          <w:rFonts w:hint="eastAsia" w:ascii="黑体" w:hAnsi="宋体" w:eastAsia="黑体"/>
          <w:b/>
          <w:color w:val="auto"/>
          <w:sz w:val="44"/>
          <w:szCs w:val="44"/>
          <w:highlight w:val="none"/>
          <w:lang w:eastAsia="zh-CN"/>
        </w:rPr>
        <w:t>数字创意产业园配套工程EPC总承包项目</w:t>
      </w:r>
    </w:p>
    <w:p>
      <w:pPr>
        <w:tabs>
          <w:tab w:val="left" w:pos="670"/>
          <w:tab w:val="center" w:pos="4252"/>
        </w:tabs>
        <w:spacing w:line="360" w:lineRule="auto"/>
        <w:jc w:val="center"/>
        <w:rPr>
          <w:rFonts w:ascii="宋体" w:hAnsi="宋体" w:eastAsia="宋体" w:cs="宋体"/>
          <w:i/>
          <w:color w:val="auto"/>
          <w:sz w:val="96"/>
          <w:szCs w:val="96"/>
          <w:highlight w:val="none"/>
        </w:rPr>
      </w:pPr>
      <w:r>
        <w:rPr>
          <w:rFonts w:hint="eastAsia" w:ascii="黑体" w:hAnsi="宋体" w:eastAsia="黑体"/>
          <w:b/>
          <w:color w:val="auto"/>
          <w:sz w:val="44"/>
          <w:szCs w:val="44"/>
          <w:highlight w:val="none"/>
          <w:lang w:val="en-US" w:eastAsia="zh-CN"/>
        </w:rPr>
        <w:t>弱电智能化专业分包</w:t>
      </w: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 xml:space="preserve"> 招采文件编号：</w:t>
      </w:r>
      <w:r>
        <w:rPr>
          <w:rFonts w:hint="eastAsia" w:ascii="宋体" w:hAnsi="宋体" w:eastAsia="宋体" w:cs="宋体"/>
          <w:color w:val="auto"/>
          <w:sz w:val="28"/>
          <w:szCs w:val="22"/>
          <w:highlight w:val="none"/>
          <w:lang w:eastAsia="zh-CN"/>
        </w:rPr>
        <w:t>2020-01-024</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2020</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数字创意产业园配套工程EPC总承包项目</w:t>
      </w:r>
      <w:r>
        <w:rPr>
          <w:rFonts w:hint="eastAsia" w:ascii="宋体" w:hAnsi="宋体" w:eastAsia="宋体" w:cs="宋体"/>
          <w:color w:val="auto"/>
          <w:sz w:val="28"/>
          <w:szCs w:val="22"/>
          <w:highlight w:val="none"/>
          <w:u w:val="single"/>
        </w:rPr>
        <w:t>弱电智能化</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lang w:eastAsia="zh-CN"/>
        </w:rPr>
        <w:t>数字创意产业园配套工程EPC总承包项目</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u w:val="single"/>
          <w:lang w:val="en-US" w:eastAsia="zh-CN"/>
        </w:rPr>
        <w:t xml:space="preserve"> 2020-01-024    </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重庆朝天门国际商贸城</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电子与智能化贰级及以上。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020</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12</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17</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lang w:val="en-US" w:eastAsia="zh-CN"/>
        </w:rPr>
        <w:t>2020</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12</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17</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数字创意产业园配套工程EPC总承包项目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重庆朝天门国际商贸城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数字创意人才公寓包括朝天门国际商贸城G1#、G2#及5#楼，总建筑面积34100.00㎡，其中建筑面积23800.00㎡（公寓房间共计451间），5#裙楼建筑面积10300.00㎡。原建筑性质G1#为酒店，G2#为办公，5#楼为商业。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必须是重庆对外建设（集团）有限公司合格供方库内单位，且无失信记录。具有建设工程行政主管部门颁布的电子与智能化贰级及以上。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计算机互联网系统、视频监控系统、报警系统、会议系统、出入口管理系统、电子巡更系统、综合布线系统的预留预埋及安装、材料、设备采购安装和检测检验、系统调试、专项验收、承包范围内所有弱电智能化工程资料的填写、整理、归档、取得竣工验收报告、以及培训移交、工程保修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整个项目必须与2020年12月20日前完工，本次招标工期必须与整个项目工期紧密配合，约10天。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根据国家最终审计审定含税价下浮20.00%（预估总限价4540702.95元）。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数字创意产业园配套工程EPC总承包项目弱电施工图及相关配套文件中弱电相关的所有相关工作内容，主要包括：计算机互联网系统、视频监控系统、报警系统、会议系统、出入口管理系统、电子巡更系统、综合布线系统的预留预埋及安装、材料、设备采购安装和检测检验、系统调试、专项验收、承包范围内所有弱电智能化工程资料的填写、整理、归档、取得竣工验收报告、以及培训移交、工程保修等所有相关工作内容。</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分项报价表的编制根据能满足施工要求的施工图，按项目分类分别列项，投标报价不得低于采购单位公布的最低下浮比例且保留两位小数。</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2.22</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⑥. 利润、保险金；</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d.非甲方原因造成的管网破坏修复的风险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⑧</w:t>
            </w:r>
            <w:r>
              <w:rPr>
                <w:rFonts w:hint="eastAsia" w:ascii="宋体" w:hAnsi="宋体" w:eastAsia="宋体" w:cs="宋体"/>
                <w:color w:val="auto"/>
                <w:sz w:val="24"/>
                <w:highlight w:val="none"/>
                <w:lang w:val="en-US" w:eastAsia="zh-CN"/>
              </w:rPr>
              <w:t xml:space="preserve">.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⑨</w:t>
            </w:r>
            <w:r>
              <w:rPr>
                <w:rFonts w:hint="eastAsia" w:ascii="宋体" w:hAnsi="宋体" w:eastAsia="宋体" w:cs="宋体"/>
                <w:color w:val="auto"/>
                <w:sz w:val="24"/>
                <w:highlight w:val="none"/>
                <w:lang w:val="en-US" w:eastAsia="zh-CN"/>
              </w:rPr>
              <w:t>. 结算时不得以任何理由予以调整或增加其他配合费等；</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（1）本工程无预付款；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（2）乙方在合同签订之日起5个工作日内向甲方缴纳履约保证金（合同金额的1%）；</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4）甲方根据审核后的月进度结算金额，并扣除对乙方的甲供材料、甲供设备、各种违约金、代扣代缴等各项扣款后，28日内按60%支付乙方分包工程进度款。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（5）工程完工验收合格后，28日内支付至累计月进度款的80%；</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（6）分包结算完成并经国家最终审计审核后，三个月内支付到审定结算金额的95%；剩余5%作为质量保修金；</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（7）5%的质量保修金在保修期（详见合同十六条）满后，在完善相关手续后一次性无息付清；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（8）甲方的期间支付结算单仅作为进度款支付依据，不作为最终结算依据；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（9）施工期间如有新增工作内容或者变更，乙方应协助甲方报送变更资料，过程中支付以建设单位审核单价下浮中标比例作为中间结算单价。最终结算价以国家最终审计审定含税价下浮中标比例执行；</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cs="宋体"/>
                <w:color w:val="auto"/>
                <w:sz w:val="24"/>
                <w:lang w:eastAsia="zh-CN"/>
              </w:rPr>
              <w:t>（10）每次付款前乙方必须提供计量证书或结算书以及全额增值税专用发票，若有需要乙方应提供增值税专用发票对应的开票系统出具的销货清单，且开具的发票必须准确合规，所涉及的税费由乙方全额缴纳并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r>
              <w:rPr>
                <w:rFonts w:hint="eastAsia" w:ascii="宋体" w:hAnsi="宋体" w:eastAsia="宋体" w:cs="宋体"/>
                <w:color w:val="000000"/>
                <w:sz w:val="24"/>
                <w:szCs w:val="24"/>
                <w:highlight w:val="none"/>
                <w:u w:val="singl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本工程承包方式为总价下浮合同（含税），以国家最终审计审定含税价*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中标下浮比例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作为</w:t>
            </w:r>
            <w:r>
              <w:rPr>
                <w:rFonts w:hint="eastAsia" w:ascii="宋体" w:hAnsi="宋体" w:eastAsia="宋体" w:cs="宋体"/>
                <w:color w:val="auto"/>
                <w:sz w:val="24"/>
                <w:highlight w:val="none"/>
                <w:lang w:val="en-US" w:eastAsia="zh-CN"/>
              </w:rPr>
              <w:t>最终结算价</w:t>
            </w:r>
            <w:r>
              <w:rPr>
                <w:rFonts w:hint="eastAsia" w:ascii="宋体" w:hAnsi="宋体" w:eastAsia="宋体" w:cs="宋体"/>
                <w:color w:val="auto"/>
                <w:sz w:val="24"/>
                <w:highlight w:val="non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000000"/>
                <w:sz w:val="24"/>
                <w:szCs w:val="24"/>
                <w:highlight w:val="none"/>
                <w:u w:val="none"/>
              </w:rPr>
              <w:t>招采范围内在工程竣工验收合格后以国家审计机构的最终审定结算金额，按中选下浮比例下浮后作为上限封顶价，因承包人自行超出施工图及变更施工图范围施工和因承包人原因造成返工的工程量，发包人将一律不予认可，因此造成的一切损失均由承包人自行承担；</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（3）本工程全部</w:t>
            </w:r>
            <w:r>
              <w:rPr>
                <w:rFonts w:hint="eastAsia" w:ascii="宋体" w:hAnsi="宋体" w:eastAsia="宋体" w:cs="宋体"/>
                <w:color w:val="auto"/>
                <w:sz w:val="24"/>
                <w:highlight w:val="none"/>
                <w:lang w:val="en-US" w:eastAsia="zh-CN"/>
              </w:rPr>
              <w:t>主材及</w:t>
            </w:r>
            <w:r>
              <w:rPr>
                <w:rFonts w:hint="eastAsia" w:ascii="宋体" w:hAnsi="宋体" w:eastAsia="宋体" w:cs="宋体"/>
                <w:color w:val="auto"/>
                <w:sz w:val="24"/>
                <w:highlight w:val="none"/>
              </w:rPr>
              <w:t>辅材由乙方采购及保管。若有甲方提供材料，甲方供应材料（周转材料除外）在结算时必须对供应数量进行核算，若供货数量超出工程核算应供的品种和规格及数量，超出部份材料价款的扣还按甲方该期采购该材料平均单价加10%管理费×超供量计算，并扣回超供材料甲方已经缴纳的税金，一并退还甲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（4）本工程税金按照《关于建筑业营业税改征增值税调整建设工程计价依据的通知》（渝建发〔</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李经理</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13618284868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yellow"/>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2020年12月17日至2020年12月18日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2020年12月21日9时00分至2020年12月21日12时00分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2020</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21</w:t>
            </w:r>
            <w:bookmarkStart w:id="28" w:name="_GoBack"/>
            <w:bookmarkEnd w:id="28"/>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主材认质要求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49561088"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49561088;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0609664"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0609664;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电子与智能化贰级及以上。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w:t>
            </w:r>
            <w:r>
              <w:rPr>
                <w:rFonts w:hint="eastAsia" w:ascii="宋体" w:hAnsi="宋体" w:eastAsia="宋体" w:cs="宋体"/>
                <w:color w:val="auto"/>
                <w:kern w:val="0"/>
                <w:szCs w:val="21"/>
                <w:highlight w:val="none"/>
                <w:lang w:val="en-US" w:eastAsia="zh-CN"/>
              </w:rPr>
              <w:t>下浮比例</w:t>
            </w:r>
            <w:r>
              <w:rPr>
                <w:rFonts w:hint="eastAsia" w:ascii="宋体" w:hAnsi="宋体" w:eastAsia="宋体" w:cs="宋体"/>
                <w:color w:val="auto"/>
                <w:kern w:val="0"/>
                <w:szCs w:val="21"/>
                <w:highlight w:val="none"/>
              </w:rPr>
              <w:t>最</w:t>
            </w:r>
            <w:r>
              <w:rPr>
                <w:rFonts w:hint="eastAsia" w:ascii="宋体" w:hAnsi="宋体" w:eastAsia="宋体" w:cs="宋体"/>
                <w:color w:val="auto"/>
                <w:kern w:val="0"/>
                <w:szCs w:val="21"/>
                <w:highlight w:val="none"/>
                <w:lang w:val="en-US" w:eastAsia="zh-CN"/>
              </w:rPr>
              <w:t>高</w:t>
            </w:r>
            <w:r>
              <w:rPr>
                <w:rFonts w:hint="eastAsia" w:ascii="宋体" w:hAnsi="宋体" w:eastAsia="宋体" w:cs="宋体"/>
                <w:color w:val="auto"/>
                <w:kern w:val="0"/>
                <w:szCs w:val="21"/>
                <w:highlight w:val="none"/>
              </w:rPr>
              <w:t>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资质证书（复印件加盖公章）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安全生产许可证（复印件加盖公章）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拟派项目负责人及其他管理人员（具有资质专业安全人员附建设行政主管部门颁发的有效的证书和安全生产考核C证、质量人员为不可缺少人员资料）（复印件加盖公章）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jc w:val="left"/>
        <w:rPr>
          <w:rFonts w:ascii="仿宋_GB2312" w:hAnsi="宋体" w:eastAsia="仿宋_GB2312"/>
          <w:sz w:val="36"/>
          <w:szCs w:val="36"/>
        </w:rPr>
      </w:pPr>
      <w:r>
        <w:rPr>
          <w:rFonts w:ascii="Calibri" w:hAnsi="Calibri" w:eastAsia="宋体" w:cs="Times New Roman"/>
          <w:b/>
          <w:color w:val="auto"/>
          <w:sz w:val="28"/>
          <w:szCs w:val="28"/>
          <w:highlight w:val="none"/>
        </w:rPr>
        <w:br w:type="page"/>
      </w: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 xml:space="preserve">    XXXX     </w:t>
      </w:r>
      <w:r>
        <w:rPr>
          <w:rFonts w:hint="eastAsia" w:ascii="仿宋_GB2312" w:hAnsi="宋体" w:eastAsia="仿宋_GB2312"/>
          <w:bCs/>
          <w:sz w:val="36"/>
          <w:szCs w:val="36"/>
        </w:rPr>
        <w:t>项目</w:t>
      </w:r>
    </w:p>
    <w:p>
      <w:pPr>
        <w:tabs>
          <w:tab w:val="left" w:pos="670"/>
          <w:tab w:val="center" w:pos="4252"/>
        </w:tabs>
        <w:spacing w:line="480" w:lineRule="auto"/>
        <w:rPr>
          <w:rFonts w:ascii="仿宋_GB2312" w:hAnsi="宋体" w:eastAsia="仿宋_GB2312"/>
          <w:iCs/>
          <w:color w:val="000000" w:themeColor="text1"/>
          <w:sz w:val="40"/>
          <w:szCs w:val="36"/>
          <w:lang w:val="en-US"/>
          <w14:textFill>
            <w14:solidFill>
              <w14:schemeClr w14:val="tx1"/>
            </w14:solidFill>
          </w14:textFill>
        </w:rPr>
      </w:pPr>
      <w:r>
        <w:rPr>
          <w:rFonts w:hint="eastAsia" w:ascii="仿宋_GB2312" w:hAnsi="宋体" w:eastAsia="仿宋_GB2312"/>
          <w:b/>
          <w:color w:val="000000" w:themeColor="text1"/>
          <w:sz w:val="40"/>
          <w:szCs w:val="32"/>
          <w:u w:val="single"/>
          <w14:textFill>
            <w14:solidFill>
              <w14:schemeClr w14:val="tx1"/>
            </w14:solidFill>
          </w14:textFill>
        </w:rPr>
        <w:t>弱电智能化</w:t>
      </w:r>
      <w:r>
        <w:rPr>
          <w:rFonts w:hint="eastAsia" w:ascii="仿宋_GB2312" w:hAnsi="宋体" w:eastAsia="仿宋_GB2312"/>
          <w:b/>
          <w:color w:val="000000" w:themeColor="text1"/>
          <w:sz w:val="40"/>
          <w:szCs w:val="32"/>
          <w:u w:val="single"/>
          <w:lang w:val="en-US" w:eastAsia="zh-CN"/>
          <w14:textFill>
            <w14:solidFill>
              <w14:schemeClr w14:val="tx1"/>
            </w14:solidFill>
          </w14:textFill>
        </w:rPr>
        <w:t xml:space="preserve">工程 </w:t>
      </w:r>
    </w:p>
    <w:p>
      <w:pPr>
        <w:tabs>
          <w:tab w:val="left" w:pos="670"/>
          <w:tab w:val="center" w:pos="4252"/>
        </w:tabs>
        <w:jc w:val="center"/>
        <w:rPr>
          <w:rFonts w:ascii="黑体" w:eastAsia="黑体"/>
          <w:b/>
          <w:sz w:val="28"/>
          <w:szCs w:val="28"/>
        </w:rPr>
      </w:pP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u w:val="single"/>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color w:val="000000" w:themeColor="text1"/>
          <w:sz w:val="32"/>
          <w:szCs w:val="32"/>
          <w:highlight w:val="none"/>
          <w:u w:val="single"/>
          <w:shd w:val="clear" w:color="auto" w:fill="auto"/>
          <w14:textFill>
            <w14:solidFill>
              <w14:schemeClr w14:val="tx1"/>
            </w14:solidFill>
          </w14:textFill>
        </w:rPr>
        <w:t xml:space="preserve">                  </w:t>
      </w:r>
      <w:r>
        <w:rPr>
          <w:rFonts w:hint="eastAsia" w:ascii="仿宋_GB2312" w:hAnsi="宋体" w:eastAsia="仿宋_GB2312"/>
          <w:color w:val="000000" w:themeColor="text1"/>
          <w:sz w:val="32"/>
          <w:szCs w:val="32"/>
          <w:highlight w:val="none"/>
          <w:shd w:val="clear" w:color="auto" w:fill="auto"/>
          <w14:textFill>
            <w14:solidFill>
              <w14:schemeClr w14:val="tx1"/>
            </w14:solidFill>
          </w14:textFill>
        </w:rPr>
        <w:t xml:space="preserve">  </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，安全员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，质量员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w:t>
      </w:r>
      <w:r>
        <w:rPr>
          <w:rFonts w:hint="eastAsia" w:eastAsia="仿宋_GB2312"/>
          <w:sz w:val="28"/>
          <w:szCs w:val="28"/>
          <w:highlight w:val="none"/>
        </w:rPr>
        <w:t>如有更换视为违约，</w:t>
      </w:r>
      <w:r>
        <w:rPr>
          <w:rFonts w:hint="eastAsia" w:eastAsia="仿宋_GB2312"/>
          <w:sz w:val="28"/>
          <w:szCs w:val="28"/>
          <w:highlight w:val="none"/>
          <w:lang w:val="en-US" w:eastAsia="zh-CN"/>
        </w:rPr>
        <w:t>乙方</w:t>
      </w:r>
      <w:r>
        <w:rPr>
          <w:rFonts w:hint="eastAsia" w:eastAsia="仿宋_GB2312"/>
          <w:sz w:val="28"/>
          <w:szCs w:val="28"/>
          <w:highlight w:val="none"/>
        </w:rPr>
        <w:t>需承担违约金；项目经理每更换一次支付违约金20万元，技术负责人每更换一次支付违约金10万元，其他人员每更换一次支付违约金5万元；由</w:t>
      </w:r>
      <w:r>
        <w:rPr>
          <w:rFonts w:hint="eastAsia" w:eastAsia="仿宋_GB2312"/>
          <w:sz w:val="28"/>
          <w:szCs w:val="28"/>
          <w:highlight w:val="none"/>
          <w:lang w:val="en-US" w:eastAsia="zh-CN"/>
        </w:rPr>
        <w:t>甲方</w:t>
      </w:r>
      <w:r>
        <w:rPr>
          <w:rFonts w:hint="eastAsia" w:eastAsia="仿宋_GB2312"/>
          <w:sz w:val="28"/>
          <w:szCs w:val="28"/>
          <w:highlight w:val="none"/>
        </w:rPr>
        <w:t>同意更换后在当期进度款中进行扣除人员更换违约金。</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themeColor="text1"/>
          <w:sz w:val="28"/>
          <w:szCs w:val="28"/>
          <w14:textFill>
            <w14:solidFill>
              <w14:schemeClr w14:val="tx1"/>
            </w14:solidFill>
          </w14:textFill>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w:t>
      </w:r>
      <w:r>
        <w:rPr>
          <w:rFonts w:hint="eastAsia" w:eastAsia="仿宋_GB2312"/>
          <w:sz w:val="28"/>
          <w:szCs w:val="28"/>
          <w:lang w:eastAsia="zh-CN"/>
        </w:rPr>
        <w:t>含税</w:t>
      </w:r>
      <w:r>
        <w:rPr>
          <w:rFonts w:hint="eastAsia" w:eastAsia="仿宋_GB2312"/>
          <w:sz w:val="28"/>
          <w:szCs w:val="28"/>
        </w:rPr>
        <w:t>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见的风险（如建设合同工期内物价（包括人工、材料、</w:t>
      </w:r>
      <w:r>
        <w:rPr>
          <w:rFonts w:hint="eastAsia" w:eastAsia="仿宋_GB2312"/>
          <w:sz w:val="28"/>
          <w:szCs w:val="28"/>
        </w:rPr>
        <w:t>机械</w:t>
      </w:r>
      <w:r>
        <w:rPr>
          <w:rFonts w:eastAsia="仿宋_GB2312"/>
          <w:sz w:val="28"/>
          <w:szCs w:val="28"/>
        </w:rPr>
        <w:t>）涨落的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hint="eastAsia" w:eastAsia="仿宋_GB2312"/>
          <w:sz w:val="28"/>
          <w:szCs w:val="28"/>
        </w:rPr>
      </w:pPr>
      <w:r>
        <w:rPr>
          <w:rFonts w:hint="eastAsia" w:eastAsia="仿宋_GB2312"/>
          <w:sz w:val="28"/>
          <w:szCs w:val="28"/>
        </w:rPr>
        <w:t>（3）本合同价款采用固定</w:t>
      </w:r>
      <w:r>
        <w:rPr>
          <w:rFonts w:hint="eastAsia" w:eastAsia="仿宋_GB2312"/>
          <w:sz w:val="28"/>
          <w:szCs w:val="28"/>
          <w:lang w:val="en-US" w:eastAsia="zh-CN"/>
        </w:rPr>
        <w:t>下浮比例</w:t>
      </w:r>
      <w:r>
        <w:rPr>
          <w:rFonts w:hint="eastAsia" w:eastAsia="仿宋_GB2312"/>
          <w:sz w:val="28"/>
          <w:szCs w:val="28"/>
        </w:rPr>
        <w:t>（含税），以国家最终审计审定含税价*</w:t>
      </w: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rPr>
        <w:t>中标下浮比例</w:t>
      </w:r>
      <w:r>
        <w:rPr>
          <w:rFonts w:hint="eastAsia" w:eastAsia="仿宋_GB2312"/>
          <w:sz w:val="28"/>
          <w:szCs w:val="28"/>
          <w:lang w:eastAsia="zh-CN"/>
        </w:rPr>
        <w:t>）</w:t>
      </w:r>
      <w:r>
        <w:rPr>
          <w:rFonts w:hint="eastAsia" w:eastAsia="仿宋_GB2312"/>
          <w:sz w:val="28"/>
          <w:szCs w:val="28"/>
        </w:rPr>
        <w:t>作为合同总价。</w:t>
      </w:r>
    </w:p>
    <w:p>
      <w:pPr>
        <w:spacing w:line="440" w:lineRule="exact"/>
        <w:ind w:right="-25" w:firstLine="630" w:firstLineChars="225"/>
        <w:rPr>
          <w:rFonts w:eastAsia="仿宋_GB2312"/>
          <w:sz w:val="28"/>
          <w:szCs w:val="28"/>
        </w:rPr>
      </w:pPr>
      <w:r>
        <w:rPr>
          <w:rFonts w:hint="eastAsia" w:eastAsia="仿宋_GB2312"/>
          <w:sz w:val="28"/>
          <w:szCs w:val="28"/>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right="-28" w:firstLine="630" w:firstLineChars="225"/>
        <w:rPr>
          <w:rFonts w:hint="eastAsia" w:eastAsia="仿宋_GB2312"/>
          <w:sz w:val="28"/>
          <w:szCs w:val="28"/>
          <w:lang w:val="en-US" w:eastAsia="zh-CN"/>
        </w:rPr>
      </w:pPr>
      <w:r>
        <w:rPr>
          <w:rFonts w:hint="eastAsia" w:eastAsia="仿宋_GB2312"/>
          <w:sz w:val="28"/>
          <w:szCs w:val="28"/>
          <w:lang w:val="en-US" w:eastAsia="zh-CN"/>
        </w:rPr>
        <w:t>4、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hint="eastAsia"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5、整个项目必须与2020年12月20日前完工，本次招标工期必须与整个项目工期紧密配合，约10天。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6、乙方与甲方合作期间须有足够的本工种劳动力资源，以确保自身的调配能力；既能保证本工程的正常施工，又能满足支援甲方突遇特殊情况需调配使用的劳动力要求。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lang w:val="en-US" w:eastAsia="zh-CN"/>
        </w:rPr>
        <w:t>7</w:t>
      </w:r>
      <w:r>
        <w:rPr>
          <w:rFonts w:hint="eastAsia" w:eastAsia="仿宋_GB2312"/>
          <w:sz w:val="28"/>
          <w:szCs w:val="28"/>
        </w:rPr>
        <w:t>、因人力不可抗拒的自然灾害造成的工程停顿或一周内非乙方原因停电停水造成停工连续超过8小时，经甲方项目部签字认可，工期予以顺延，但不作经济补偿。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lang w:val="en-US" w:eastAsia="zh-CN"/>
        </w:rPr>
        <w:t>8</w:t>
      </w:r>
      <w:r>
        <w:rPr>
          <w:rFonts w:hint="eastAsia" w:eastAsia="仿宋_GB2312"/>
          <w:sz w:val="28"/>
          <w:szCs w:val="28"/>
        </w:rPr>
        <w:t>、开工、竣工日期以实际发生为准，乙方不得因工期延长或缩短索赔任何费用(如管理费、租赁费、人工费等一切费用)。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《建筑安装工程施工及验收规范》、《建筑安装工程质量评定标准》、</w:t>
      </w:r>
      <w:r>
        <w:rPr>
          <w:rFonts w:hint="eastAsia" w:eastAsia="仿宋_GB2312"/>
          <w:sz w:val="28"/>
          <w:szCs w:val="28"/>
          <w:highlight w:val="none"/>
          <w:u w:val="single"/>
          <w:lang w:eastAsia="zh-CN"/>
        </w:rPr>
        <w:t>《建筑装饰装修工程质量验收标准》、《建筑装饰装修工程施工质量验收规范》、《</w:t>
      </w:r>
      <w:r>
        <w:rPr>
          <w:rFonts w:hint="eastAsia" w:eastAsia="仿宋_GB2312"/>
          <w:sz w:val="28"/>
          <w:szCs w:val="28"/>
          <w:highlight w:val="none"/>
          <w:u w:val="single"/>
          <w:lang w:val="en-US" w:eastAsia="zh-CN"/>
        </w:rPr>
        <w:t>建筑智能化系统工程施工规范</w:t>
      </w:r>
      <w:r>
        <w:rPr>
          <w:rFonts w:hint="eastAsia" w:eastAsia="仿宋_GB2312"/>
          <w:sz w:val="28"/>
          <w:szCs w:val="28"/>
          <w:highlight w:val="none"/>
          <w:u w:val="single"/>
          <w:lang w:eastAsia="zh-CN"/>
        </w:rPr>
        <w:t>》</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14:textFill>
            <w14:solidFill>
              <w14:schemeClr w14:val="tx1"/>
            </w14:solidFill>
          </w14:textFill>
        </w:rPr>
        <w:t>渝外建发〔2015〕136号</w:t>
      </w:r>
      <w:r>
        <w:rPr>
          <w:rFonts w:hint="eastAsia" w:eastAsia="仿宋_GB2312"/>
          <w:color w:val="000000" w:themeColor="text1"/>
          <w:sz w:val="28"/>
          <w:szCs w:val="28"/>
          <w14:textFill>
            <w14:solidFill>
              <w14:schemeClr w14:val="tx1"/>
            </w14:solidFill>
          </w14:textFill>
        </w:rPr>
        <w:t>)执行。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color w:val="0000FF"/>
          <w:sz w:val="28"/>
          <w:szCs w:val="28"/>
          <w:u w:val="single"/>
        </w:rPr>
        <w:t xml:space="preserve">：                           </w:t>
      </w:r>
      <w:r>
        <w:rPr>
          <w:rFonts w:hint="eastAsia" w:eastAsia="仿宋_GB2312"/>
          <w:color w:val="0000FF"/>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rPr>
        <w:t>%</w:t>
      </w:r>
      <w:r>
        <w:rPr>
          <w:rFonts w:hint="eastAsia" w:eastAsia="仿宋_GB2312"/>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w:t>
      </w:r>
      <w:r>
        <w:rPr>
          <w:rFonts w:hint="eastAsia" w:eastAsia="仿宋_GB2312"/>
          <w:sz w:val="28"/>
          <w:szCs w:val="28"/>
          <w:lang w:val="en-US" w:eastAsia="zh-CN"/>
        </w:rPr>
        <w:t>48</w:t>
      </w:r>
      <w:r>
        <w:rPr>
          <w:rFonts w:hint="eastAsia" w:eastAsia="仿宋_GB2312"/>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做样板所产生的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w:t>
      </w:r>
      <w:r>
        <w:rPr>
          <w:rFonts w:hint="eastAsia" w:eastAsia="仿宋_GB2312"/>
          <w:sz w:val="28"/>
          <w:szCs w:val="28"/>
          <w:lang w:eastAsia="zh-CN"/>
        </w:rPr>
        <w:t>90</w:t>
      </w:r>
      <w:r>
        <w:rPr>
          <w:rFonts w:hint="eastAsia" w:eastAsia="仿宋_GB2312"/>
          <w:sz w:val="28"/>
          <w:szCs w:val="28"/>
        </w:rPr>
        <w:t>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23、乙方承诺、保证并同意：</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②国际组织的领导、官员和代表；</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③政府机构候选人，政党领导、员工和代表，王室成员；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④国有或国家控股公司或实体的官员和员工；</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 xml:space="preserve">⑤上述人员的近亲属或紧密关系人。 </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 根据设计图纸及现场实际完成情况，按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w:t>
      </w:r>
      <w:r>
        <w:rPr>
          <w:rFonts w:hint="eastAsia" w:eastAsia="仿宋_GB2312"/>
          <w:sz w:val="28"/>
          <w:szCs w:val="28"/>
        </w:rPr>
        <w:t>但不超过设计图及规范计算工程量，</w:t>
      </w:r>
      <w:r>
        <w:rPr>
          <w:rFonts w:eastAsia="仿宋_GB2312"/>
          <w:sz w:val="28"/>
          <w:szCs w:val="28"/>
        </w:rPr>
        <w:t>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rPr>
        <w:t>工程量清单综合单价报价表</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rPr>
      </w:pPr>
      <w:r>
        <w:rPr>
          <w:rFonts w:hint="eastAsia" w:eastAsia="仿宋_GB2312"/>
          <w:sz w:val="28"/>
          <w:szCs w:val="28"/>
        </w:rPr>
        <w:t>（1）本工程承包方式为固定</w:t>
      </w:r>
      <w:r>
        <w:rPr>
          <w:rFonts w:hint="eastAsia" w:eastAsia="仿宋_GB2312"/>
          <w:sz w:val="28"/>
          <w:szCs w:val="28"/>
          <w:lang w:val="en-US" w:eastAsia="zh-CN"/>
        </w:rPr>
        <w:t>下浮比例</w:t>
      </w:r>
      <w:r>
        <w:rPr>
          <w:rFonts w:hint="eastAsia" w:eastAsia="仿宋_GB2312"/>
          <w:sz w:val="28"/>
          <w:szCs w:val="28"/>
        </w:rPr>
        <w:t>合同（含税）。</w:t>
      </w:r>
    </w:p>
    <w:p>
      <w:pPr>
        <w:spacing w:line="440" w:lineRule="exact"/>
        <w:ind w:firstLine="560" w:firstLineChars="200"/>
        <w:rPr>
          <w:rFonts w:hint="eastAsia" w:eastAsia="仿宋_GB2312"/>
          <w:sz w:val="28"/>
          <w:szCs w:val="28"/>
        </w:rPr>
      </w:pPr>
      <w:r>
        <w:rPr>
          <w:rFonts w:hint="eastAsia" w:eastAsia="仿宋_GB2312"/>
          <w:sz w:val="28"/>
          <w:szCs w:val="28"/>
        </w:rPr>
        <w:t>（2）承包范围内的结算金额以国家最终审计审定含税价*</w:t>
      </w: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rPr>
        <w:t>中标下浮比例</w:t>
      </w:r>
      <w:r>
        <w:rPr>
          <w:rFonts w:hint="eastAsia" w:eastAsia="仿宋_GB2312"/>
          <w:sz w:val="28"/>
          <w:szCs w:val="28"/>
          <w:lang w:eastAsia="zh-CN"/>
        </w:rPr>
        <w:t>）</w:t>
      </w:r>
      <w:r>
        <w:rPr>
          <w:rFonts w:hint="eastAsia" w:eastAsia="仿宋_GB2312"/>
          <w:sz w:val="28"/>
          <w:szCs w:val="28"/>
        </w:rPr>
        <w:t>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eastAsia="仿宋_GB2312"/>
          <w:sz w:val="28"/>
          <w:szCs w:val="28"/>
        </w:rPr>
      </w:pPr>
      <w:r>
        <w:rPr>
          <w:rFonts w:hint="eastAsia" w:eastAsia="仿宋_GB2312"/>
          <w:sz w:val="28"/>
          <w:szCs w:val="28"/>
        </w:rPr>
        <w:t>4、合同价款支付：</w:t>
      </w:r>
    </w:p>
    <w:p>
      <w:pPr>
        <w:spacing w:line="440" w:lineRule="exact"/>
        <w:ind w:firstLine="627" w:firstLineChars="224"/>
        <w:outlineLvl w:val="0"/>
        <w:rPr>
          <w:rFonts w:hint="default" w:eastAsia="仿宋_GB2312"/>
          <w:sz w:val="28"/>
          <w:szCs w:val="28"/>
          <w:lang w:val="en-US" w:eastAsia="zh-CN"/>
        </w:rPr>
      </w:pPr>
      <w:r>
        <w:rPr>
          <w:rFonts w:hint="eastAsia" w:eastAsia="仿宋_GB2312"/>
          <w:sz w:val="28"/>
          <w:szCs w:val="28"/>
          <w:lang w:val="en-US" w:eastAsia="zh-CN"/>
        </w:rPr>
        <w:t>Xxxx</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color w:val="000000" w:themeColor="text1"/>
          <w:sz w:val="28"/>
          <w:szCs w:val="28"/>
          <w14:textFill>
            <w14:solidFill>
              <w14:schemeClr w14:val="tx1"/>
            </w14:solidFill>
          </w14:textFill>
        </w:rPr>
        <w:t>质量保修期自本工程全部竣工验收并取得建设行政主管部门备案验收手续开始计算。</w:t>
      </w: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2</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本合同正本一式</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份，甲乙双方各执</w:t>
      </w:r>
      <w:r>
        <w:rPr>
          <w:rFonts w:hint="eastAsia" w:eastAsia="仿宋_GB2312"/>
          <w:color w:val="000000" w:themeColor="text1"/>
          <w:sz w:val="28"/>
          <w:szCs w:val="28"/>
          <w:u w:val="single"/>
          <w14:textFill>
            <w14:solidFill>
              <w14:schemeClr w14:val="tx1"/>
            </w14:solidFill>
          </w14:textFill>
        </w:rPr>
        <w:t xml:space="preserve"> 1 </w:t>
      </w:r>
      <w:r>
        <w:rPr>
          <w:rFonts w:hint="eastAsia" w:eastAsia="仿宋_GB2312"/>
          <w:color w:val="000000" w:themeColor="text1"/>
          <w:sz w:val="28"/>
          <w:szCs w:val="28"/>
          <w14:textFill>
            <w14:solidFill>
              <w14:schemeClr w14:val="tx1"/>
            </w14:solidFill>
          </w14:textFill>
        </w:rPr>
        <w:t>份；副本一式</w:t>
      </w:r>
      <w:r>
        <w:rPr>
          <w:rFonts w:hint="eastAsia" w:eastAsia="仿宋_GB2312"/>
          <w:color w:val="000000" w:themeColor="text1"/>
          <w:sz w:val="28"/>
          <w:szCs w:val="28"/>
          <w:u w:val="single"/>
          <w14:textFill>
            <w14:solidFill>
              <w14:schemeClr w14:val="tx1"/>
            </w14:solidFill>
          </w14:textFill>
        </w:rPr>
        <w:t xml:space="preserve"> 4 </w:t>
      </w:r>
      <w:r>
        <w:rPr>
          <w:rFonts w:hint="eastAsia" w:eastAsia="仿宋_GB2312"/>
          <w:color w:val="000000" w:themeColor="text1"/>
          <w:sz w:val="28"/>
          <w:szCs w:val="28"/>
          <w14:textFill>
            <w14:solidFill>
              <w14:schemeClr w14:val="tx1"/>
            </w14:solidFill>
          </w14:textFill>
        </w:rPr>
        <w:t>乙方执</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spacing w:line="440" w:lineRule="exact"/>
        <w:ind w:firstLine="560" w:firstLineChars="200"/>
        <w:rPr>
          <w:rFonts w:eastAsia="仿宋_GB2312"/>
          <w:sz w:val="28"/>
          <w:szCs w:val="28"/>
        </w:rPr>
      </w:pPr>
      <w:r>
        <w:rPr>
          <w:rFonts w:hint="eastAsia" w:eastAsia="仿宋_GB2312"/>
          <w:sz w:val="28"/>
          <w:szCs w:val="28"/>
        </w:rPr>
        <w:t>1、乙方应在本合同签订后5个工作日内向甲方交纳履约、质量、工期、安全文明施工履约保证金人民币（大写）______万____元_角_分（小写）________万元（合同金额的</w:t>
      </w:r>
      <w:r>
        <w:rPr>
          <w:rFonts w:hint="eastAsia" w:eastAsia="仿宋_GB2312"/>
          <w:sz w:val="28"/>
          <w:szCs w:val="28"/>
          <w:u w:val="single"/>
          <w:lang w:val="en-US" w:eastAsia="zh-CN"/>
        </w:rPr>
        <w:t>1</w:t>
      </w:r>
      <w:r>
        <w:rPr>
          <w:rFonts w:hint="eastAsia" w:eastAsia="仿宋_GB2312"/>
          <w:sz w:val="28"/>
          <w:szCs w:val="28"/>
        </w:rPr>
        <w:t>%）（不计息），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4、若</w:t>
      </w:r>
      <w:r>
        <w:rPr>
          <w:rFonts w:eastAsia="仿宋_GB2312"/>
          <w:color w:val="000000" w:themeColor="text1"/>
          <w:sz w:val="28"/>
          <w:szCs w:val="28"/>
          <w14:textFill>
            <w14:solidFill>
              <w14:schemeClr w14:val="tx1"/>
            </w14:solidFill>
          </w14:textFill>
        </w:rPr>
        <w:t>分包单位发生安全生产事故，其</w:t>
      </w:r>
      <w:r>
        <w:rPr>
          <w:rFonts w:hint="eastAsia" w:eastAsia="仿宋_GB2312"/>
          <w:color w:val="000000" w:themeColor="text1"/>
          <w:sz w:val="28"/>
          <w:szCs w:val="28"/>
          <w14:textFill>
            <w14:solidFill>
              <w14:schemeClr w14:val="tx1"/>
            </w14:solidFill>
          </w14:textFill>
        </w:rPr>
        <w:t>履约</w:t>
      </w:r>
      <w:r>
        <w:rPr>
          <w:rFonts w:eastAsia="仿宋_GB2312"/>
          <w:color w:val="000000" w:themeColor="text1"/>
          <w:sz w:val="28"/>
          <w:szCs w:val="28"/>
          <w14:textFill>
            <w14:solidFill>
              <w14:schemeClr w14:val="tx1"/>
            </w14:solidFill>
          </w14:textFill>
        </w:rPr>
        <w:t>保证金自动转为安全生产保证金，按</w:t>
      </w:r>
      <w:r>
        <w:rPr>
          <w:rFonts w:hint="eastAsia" w:eastAsia="仿宋_GB2312"/>
          <w:color w:val="000000" w:themeColor="text1"/>
          <w:sz w:val="28"/>
          <w:szCs w:val="28"/>
          <w14:textFill>
            <w14:solidFill>
              <w14:schemeClr w14:val="tx1"/>
            </w14:solidFill>
          </w14:textFill>
        </w:rPr>
        <w:t>合同</w:t>
      </w:r>
      <w:r>
        <w:rPr>
          <w:rFonts w:eastAsia="仿宋_GB2312"/>
          <w:color w:val="000000" w:themeColor="text1"/>
          <w:sz w:val="28"/>
          <w:szCs w:val="28"/>
          <w14:textFill>
            <w14:solidFill>
              <w14:schemeClr w14:val="tx1"/>
            </w14:solidFill>
          </w14:textFill>
        </w:rPr>
        <w:t>附件《</w:t>
      </w:r>
      <w:r>
        <w:rPr>
          <w:rFonts w:hint="eastAsia" w:eastAsia="仿宋_GB2312"/>
          <w:color w:val="000000" w:themeColor="text1"/>
          <w:sz w:val="28"/>
          <w:szCs w:val="28"/>
          <w14:textFill>
            <w14:solidFill>
              <w14:schemeClr w14:val="tx1"/>
            </w14:solidFill>
          </w14:textFill>
        </w:rPr>
        <w:t>工程项目安全生产协议》“第</w:t>
      </w:r>
      <w:r>
        <w:rPr>
          <w:rFonts w:eastAsia="仿宋_GB2312"/>
          <w:color w:val="000000" w:themeColor="text1"/>
          <w:sz w:val="28"/>
          <w:szCs w:val="28"/>
          <w14:textFill>
            <w14:solidFill>
              <w14:schemeClr w14:val="tx1"/>
            </w14:solidFill>
          </w14:textFill>
        </w:rPr>
        <w:t>四条</w:t>
      </w:r>
      <w:r>
        <w:rPr>
          <w:rFonts w:hint="eastAsia" w:eastAsia="仿宋_GB2312"/>
          <w:color w:val="000000" w:themeColor="text1"/>
          <w:sz w:val="28"/>
          <w:szCs w:val="28"/>
          <w14:textFill>
            <w14:solidFill>
              <w14:schemeClr w14:val="tx1"/>
            </w14:solidFill>
          </w14:textFill>
        </w:rPr>
        <w:t xml:space="preserve"> 施工安全保证金”</w:t>
      </w:r>
      <w:r>
        <w:rPr>
          <w:rFonts w:eastAsia="仿宋_GB2312"/>
          <w:color w:val="000000" w:themeColor="text1"/>
          <w:sz w:val="28"/>
          <w:szCs w:val="28"/>
          <w14:textFill>
            <w14:solidFill>
              <w14:schemeClr w14:val="tx1"/>
            </w14:solidFill>
          </w14:textFill>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eastAsia="仿宋_GB2312"/>
          <w:bCs/>
          <w:sz w:val="28"/>
          <w:szCs w:val="28"/>
        </w:rPr>
      </w:pPr>
      <w:r>
        <w:rPr>
          <w:rFonts w:hint="eastAsia" w:eastAsia="仿宋_GB2312"/>
          <w:bCs/>
          <w:sz w:val="28"/>
          <w:szCs w:val="28"/>
        </w:rPr>
        <w:t>附件：工程量清单综合单价报价表</w:t>
      </w: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cols w:space="0" w:num="1"/>
          <w:rtlGutter w:val="0"/>
          <w:docGrid w:type="lines" w:linePitch="312" w:charSpace="0"/>
        </w:sectPr>
      </w:pPr>
    </w:p>
    <w:p>
      <w:pPr>
        <w:spacing w:line="440" w:lineRule="exact"/>
        <w:ind w:firstLine="560" w:firstLineChars="200"/>
        <w:rPr>
          <w:rFonts w:hint="eastAsia" w:eastAsia="仿宋_GB2312"/>
          <w:bCs/>
          <w:sz w:val="28"/>
          <w:szCs w:val="28"/>
          <w:lang w:val="en-US" w:eastAsia="zh-CN"/>
        </w:rPr>
      </w:pPr>
      <w:r>
        <w:rPr>
          <w:rFonts w:hint="eastAsia" w:eastAsia="仿宋_GB2312"/>
          <w:bCs/>
          <w:sz w:val="28"/>
          <w:szCs w:val="28"/>
          <w:lang w:val="en-US" w:eastAsia="zh-CN"/>
        </w:rPr>
        <w:t>专业分包合同附件1. 合同清单</w:t>
      </w:r>
    </w:p>
    <w:p>
      <w:pPr>
        <w:pStyle w:val="2"/>
        <w:rPr>
          <w:rFonts w:hint="eastAsia"/>
          <w:lang w:val="en-US"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0"/>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0"/>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eastAsia"/>
          <w:lang w:val="en-US" w:eastAsia="zh-CN"/>
        </w:rPr>
        <w:sectPr>
          <w:pgSz w:w="16838" w:h="11906" w:orient="landscape"/>
          <w:pgMar w:top="1260" w:right="1440" w:bottom="1106" w:left="1440" w:header="851" w:footer="992" w:gutter="0"/>
          <w:cols w:space="0" w:num="1"/>
          <w:rtlGutter w:val="0"/>
          <w:docGrid w:type="lines" w:linePitch="312" w:charSpace="0"/>
        </w:sectPr>
      </w:pPr>
    </w:p>
    <w:p>
      <w:pPr>
        <w:widowControl/>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工程项目安全生产协议</w:t>
      </w:r>
    </w:p>
    <w:p>
      <w:pPr>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甲方：</w:t>
      </w:r>
      <w:r>
        <w:rPr>
          <w:rFonts w:hint="eastAsia" w:eastAsia="仿宋_GB2312"/>
          <w:b/>
          <w:color w:val="000000" w:themeColor="text1"/>
          <w:sz w:val="28"/>
          <w:szCs w:val="28"/>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乙方：</w:t>
      </w:r>
      <w:r>
        <w:rPr>
          <w:rFonts w:hint="eastAsia" w:eastAsia="仿宋_GB2312"/>
          <w:b/>
          <w:color w:val="000000" w:themeColor="text1"/>
          <w:sz w:val="28"/>
          <w:szCs w:val="28"/>
          <w:u w:val="single"/>
          <w14:textFill>
            <w14:solidFill>
              <w14:schemeClr w14:val="tx1"/>
            </w14:solidFill>
          </w14:textFill>
        </w:rPr>
        <w:t xml:space="preserve"> ___________</w:t>
      </w:r>
      <w:r>
        <w:rPr>
          <w:rFonts w:hint="eastAsia" w:eastAsia="仿宋_GB2312"/>
          <w:bCs/>
          <w:color w:val="843C0B" w:themeColor="accent2" w:themeShade="80"/>
          <w:sz w:val="28"/>
          <w:szCs w:val="28"/>
          <w:u w:val="single"/>
        </w:rPr>
        <w:t>XXXX____</w:t>
      </w:r>
      <w:r>
        <w:rPr>
          <w:rFonts w:eastAsia="仿宋_GB2312"/>
          <w:bCs/>
          <w:color w:val="843C0B" w:themeColor="accent2" w:themeShade="80"/>
          <w:sz w:val="28"/>
          <w:szCs w:val="28"/>
          <w:u w:val="single"/>
        </w:rPr>
        <w:t>有限公司</w:t>
      </w:r>
      <w:r>
        <w:rPr>
          <w:rFonts w:hint="eastAsia" w:eastAsia="仿宋_GB2312"/>
          <w:b/>
          <w:color w:val="000000" w:themeColor="text1"/>
          <w:sz w:val="28"/>
          <w:szCs w:val="28"/>
          <w:u w:val="single"/>
          <w14:textFill>
            <w14:solidFill>
              <w14:schemeClr w14:val="tx1"/>
            </w14:solidFill>
          </w14:textFill>
        </w:rPr>
        <w:t xml:space="preserve">  </w:t>
      </w:r>
      <w:r>
        <w:rPr>
          <w:rFonts w:hint="eastAsia" w:eastAsia="仿宋_GB2312"/>
          <w:bCs/>
          <w:color w:val="000000" w:themeColor="text1"/>
          <w:sz w:val="28"/>
          <w:szCs w:val="28"/>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1、工程名称：</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2、工程地址：</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themeColor="text1"/>
          <w:sz w:val="28"/>
          <w:szCs w:val="28"/>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ascii="Times New Roman" w:hAnsi="Times New Roman" w:eastAsia="仿宋_GB2312"/>
          <w:sz w:val="28"/>
          <w:szCs w:val="28"/>
          <w:highlight w:val="none"/>
          <w:u w:val="single"/>
        </w:rPr>
        <w:t>《外建第二总承包公司安全处罚条款》</w:t>
      </w:r>
      <w:r>
        <w:rPr>
          <w:rFonts w:hint="eastAsia" w:ascii="Times New Roman" w:hAnsi="Times New Roman" w:eastAsia="仿宋_GB2312" w:cs="Times New Roman"/>
          <w:color w:val="000000"/>
          <w:sz w:val="28"/>
          <w:szCs w:val="28"/>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14:textFill>
            <w14:solidFill>
              <w14:schemeClr w14:val="tx1"/>
            </w14:solidFill>
          </w14:textFill>
        </w:rPr>
        <w:t>包</w:t>
      </w:r>
      <w:r>
        <w:rPr>
          <w:rFonts w:hint="eastAsia" w:ascii="Times New Roman" w:hAnsi="Times New Roman" w:eastAsia="仿宋_GB2312" w:cs="Times New Roman"/>
          <w:color w:val="000000" w:themeColor="text1"/>
          <w:sz w:val="28"/>
          <w:szCs w:val="28"/>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14:textFill>
            <w14:solidFill>
              <w14:schemeClr w14:val="tx1"/>
            </w14:solidFill>
          </w14:textFill>
        </w:rPr>
      </w:pPr>
      <w:r>
        <w:rPr>
          <w:rFonts w:hint="eastAsia" w:eastAsia="仿宋_GB2312"/>
          <w:b/>
          <w:bCs/>
          <w:color w:val="000000" w:themeColor="text1"/>
          <w:kern w:val="0"/>
          <w:sz w:val="28"/>
          <w:szCs w:val="28"/>
          <w14:textFill>
            <w14:solidFill>
              <w14:schemeClr w14:val="tx1"/>
            </w14:solidFill>
          </w14:textFill>
        </w:rPr>
        <w:t>七、</w:t>
      </w:r>
      <w:r>
        <w:rPr>
          <w:rFonts w:hint="eastAsia" w:eastAsia="仿宋_GB2312"/>
          <w:color w:val="000000" w:themeColor="text1"/>
          <w:kern w:val="0"/>
          <w:sz w:val="28"/>
          <w:szCs w:val="28"/>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八、</w:t>
      </w:r>
      <w:r>
        <w:rPr>
          <w:rFonts w:hint="eastAsia" w:ascii="Times New Roman" w:hAnsi="Times New Roman" w:eastAsia="仿宋_GB2312" w:cs="Times New Roman"/>
          <w:color w:val="000000" w:themeColor="text1"/>
          <w:sz w:val="28"/>
          <w:szCs w:val="28"/>
          <w14:textFill>
            <w14:solidFill>
              <w14:schemeClr w14:val="tx1"/>
            </w14:solidFill>
          </w14:textFill>
        </w:rPr>
        <w:t>本协议一式</w:t>
      </w:r>
      <w:r>
        <w:rPr>
          <w:rFonts w:hint="eastAsia" w:ascii="Times New Roman" w:hAnsi="Times New Roman" w:eastAsia="仿宋_GB2312" w:cs="Times New Roman"/>
          <w:color w:val="000000" w:themeColor="text1"/>
          <w:sz w:val="28"/>
          <w:szCs w:val="28"/>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14:textFill>
            <w14:solidFill>
              <w14:schemeClr w14:val="tx1"/>
            </w14:solidFill>
          </w14:textFill>
        </w:rPr>
        <w:t>份，甲方</w:t>
      </w:r>
      <w:r>
        <w:rPr>
          <w:rFonts w:ascii="Times New Roman" w:hAnsi="Times New Roman" w:eastAsia="仿宋_GB2312" w:cs="Times New Roman"/>
          <w:color w:val="000000" w:themeColor="text1"/>
          <w:sz w:val="28"/>
          <w:szCs w:val="28"/>
          <w14:textFill>
            <w14:solidFill>
              <w14:schemeClr w14:val="tx1"/>
            </w14:solidFill>
          </w14:textFill>
        </w:rPr>
        <w:t>执</w:t>
      </w:r>
      <w:r>
        <w:rPr>
          <w:rFonts w:ascii="Times New Roman" w:hAnsi="Times New Roman" w:eastAsia="仿宋_GB2312" w:cs="Times New Roman"/>
          <w:color w:val="000000" w:themeColor="text1"/>
          <w:sz w:val="28"/>
          <w:szCs w:val="28"/>
          <w:u w:val="single"/>
          <w14:textFill>
            <w14:solidFill>
              <w14:schemeClr w14:val="tx1"/>
            </w14:solidFill>
          </w14:textFill>
        </w:rPr>
        <w:t>四</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乙方执</w:t>
      </w:r>
      <w:r>
        <w:rPr>
          <w:rFonts w:hint="eastAsia" w:ascii="Times New Roman" w:hAnsi="Times New Roman" w:eastAsia="仿宋_GB2312" w:cs="Times New Roman"/>
          <w:color w:val="000000" w:themeColor="text1"/>
          <w:sz w:val="28"/>
          <w:szCs w:val="28"/>
          <w:u w:val="single"/>
          <w14:textFill>
            <w14:solidFill>
              <w14:schemeClr w14:val="tx1"/>
            </w14:solidFill>
          </w14:textFill>
        </w:rPr>
        <w:t>两</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附件：</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重庆对外建设（集团）有限公司安全处罚实施细则</w:t>
      </w:r>
    </w:p>
    <w:p>
      <w:pPr>
        <w:pStyle w:val="11"/>
        <w:spacing w:beforeAutospacing="0" w:afterAutospacing="0" w:line="440" w:lineRule="exact"/>
        <w:ind w:firstLine="840" w:firstLineChars="30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ascii="Times New Roman" w:hAnsi="Times New Roman" w:eastAsia="仿宋_GB2312"/>
          <w:sz w:val="28"/>
          <w:szCs w:val="28"/>
          <w:highlight w:val="none"/>
        </w:rPr>
        <w:t>、外建第二总承包公司安全处罚条款</w:t>
      </w:r>
      <w:r>
        <w:rPr>
          <w:rFonts w:hint="default" w:ascii="Times New Roman" w:hAnsi="Times New Roman" w:eastAsia="仿宋_GB2312"/>
          <w:sz w:val="28"/>
          <w:szCs w:val="28"/>
          <w:highlight w:val="none"/>
        </w:rPr>
        <w:t>(</w:t>
      </w:r>
      <w:r>
        <w:rPr>
          <w:rFonts w:ascii="Times New Roman" w:hAnsi="Times New Roman" w:eastAsia="仿宋_GB2312"/>
          <w:sz w:val="28"/>
          <w:szCs w:val="28"/>
          <w:highlight w:val="none"/>
        </w:rPr>
        <w:t>罚条款附件附后</w:t>
      </w:r>
      <w:r>
        <w:rPr>
          <w:rFonts w:hint="default" w:ascii="Times New Roman" w:hAnsi="Times New Roman" w:eastAsia="仿宋_GB2312"/>
          <w:sz w:val="28"/>
          <w:szCs w:val="28"/>
          <w:highlight w:val="none"/>
        </w:rPr>
        <w:t>)</w:t>
      </w:r>
    </w:p>
    <w:p>
      <w:pPr>
        <w:pStyle w:val="11"/>
        <w:spacing w:before="0" w:beforeAutospacing="0" w:after="0" w:afterAutospacing="0" w:line="500" w:lineRule="exact"/>
        <w:rPr>
          <w:rFonts w:hint="eastAsia" w:ascii="仿宋_GB2312" w:hAnsi="ˎ̥" w:eastAsia="仿宋_GB2312"/>
          <w:sz w:val="28"/>
          <w:szCs w:val="28"/>
          <w:highlight w:val="none"/>
        </w:rPr>
        <w:sectPr>
          <w:pgSz w:w="11906" w:h="16838"/>
          <w:pgMar w:top="1440" w:right="1106" w:bottom="1440" w:left="1260" w:header="851" w:footer="992" w:gutter="0"/>
          <w:cols w:space="0" w:num="1"/>
          <w:rtlGutter w:val="0"/>
          <w:docGrid w:type="lines" w:linePitch="312" w:charSpace="0"/>
        </w:sectPr>
      </w:pPr>
    </w:p>
    <w:p>
      <w:pPr>
        <w:pStyle w:val="11"/>
        <w:spacing w:before="0" w:beforeAutospacing="0" w:after="0" w:afterAutospacing="0" w:line="500" w:lineRule="exact"/>
        <w:ind w:left="0" w:leftChars="0" w:firstLine="0" w:firstLineChars="0"/>
        <w:rPr>
          <w:rFonts w:ascii="仿宋_GB2312" w:hAnsi="ˎ̥" w:eastAsia="仿宋_GB2312"/>
          <w:color w:val="000000"/>
          <w:sz w:val="28"/>
          <w:szCs w:val="28"/>
        </w:rPr>
      </w:pPr>
      <w:r>
        <w:rPr>
          <w:rFonts w:hint="eastAsia" w:ascii="仿宋_GB2312" w:hAnsi="ˎ̥" w:eastAsia="仿宋_GB2312"/>
          <w:color w:val="000000"/>
          <w:sz w:val="28"/>
          <w:szCs w:val="28"/>
        </w:rPr>
        <w:t>附件</w:t>
      </w:r>
      <w:r>
        <w:rPr>
          <w:rFonts w:hint="eastAsia" w:ascii="仿宋_GB2312" w:hAnsi="ˎ̥" w:eastAsia="仿宋_GB2312"/>
          <w:color w:val="000000"/>
          <w:sz w:val="28"/>
          <w:szCs w:val="28"/>
          <w:lang w:val="en-US" w:eastAsia="zh-CN"/>
        </w:rPr>
        <w:t>1</w:t>
      </w:r>
      <w:r>
        <w:rPr>
          <w:rFonts w:hint="eastAsia" w:ascii="仿宋_GB2312" w:hAnsi="ˎ̥" w:eastAsia="仿宋_GB2312"/>
          <w:color w:val="000000"/>
          <w:sz w:val="28"/>
          <w:szCs w:val="28"/>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rPr>
      </w:pPr>
      <w:r>
        <w:rPr>
          <w:rFonts w:hint="eastAsia" w:ascii="方正小标宋_GBK" w:eastAsia="方正小标宋_GBK"/>
          <w:color w:val="000000"/>
          <w:sz w:val="44"/>
          <w:szCs w:val="44"/>
        </w:rPr>
        <w:t>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360" w:lineRule="auto"/>
        <w:ind w:left="0" w:leftChars="0" w:firstLine="0" w:firstLineChars="0"/>
        <w:rPr>
          <w:rFonts w:ascii="仿宋_GB2312" w:hAnsi="ˎ̥" w:eastAsia="仿宋_GB2312"/>
          <w:color w:val="000000"/>
        </w:rPr>
      </w:pPr>
    </w:p>
    <w:p>
      <w:pPr>
        <w:pStyle w:val="11"/>
        <w:spacing w:before="0" w:beforeAutospacing="0" w:after="0" w:afterAutospacing="0" w:line="500" w:lineRule="exact"/>
        <w:rPr>
          <w:rFonts w:hint="eastAsia" w:ascii="仿宋_GB2312" w:hAnsi="ˎ̥" w:eastAsia="仿宋_GB2312"/>
          <w:sz w:val="28"/>
          <w:szCs w:val="28"/>
          <w:highlight w:val="none"/>
        </w:rPr>
      </w:pPr>
      <w:r>
        <w:rPr>
          <w:rFonts w:hint="eastAsia" w:ascii="仿宋_GB2312" w:hAnsi="ˎ̥" w:eastAsia="仿宋_GB2312"/>
          <w:sz w:val="28"/>
          <w:szCs w:val="28"/>
          <w:highlight w:val="none"/>
        </w:rPr>
        <w:t>附件2.</w:t>
      </w:r>
    </w:p>
    <w:p>
      <w:pPr>
        <w:jc w:val="center"/>
        <w:rPr>
          <w:rFonts w:hint="eastAsia"/>
          <w:b/>
          <w:bCs/>
          <w:sz w:val="32"/>
          <w:szCs w:val="32"/>
          <w:highlight w:val="none"/>
        </w:rPr>
      </w:pPr>
      <w:r>
        <w:rPr>
          <w:rFonts w:hint="eastAsia"/>
          <w:b/>
          <w:sz w:val="32"/>
          <w:szCs w:val="32"/>
          <w:highlight w:val="none"/>
        </w:rPr>
        <w:t>外建第二总承包公司安全处罚条款</w:t>
      </w:r>
    </w:p>
    <w:tbl>
      <w:tblPr>
        <w:tblStyle w:val="13"/>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94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序号</w:t>
            </w:r>
          </w:p>
        </w:tc>
        <w:tc>
          <w:tcPr>
            <w:tcW w:w="7940" w:type="dxa"/>
            <w:vAlign w:val="top"/>
          </w:tcPr>
          <w:p>
            <w:pPr>
              <w:spacing w:line="440" w:lineRule="exact"/>
              <w:ind w:firstLine="2760" w:firstLineChars="1150"/>
              <w:rPr>
                <w:rFonts w:hint="eastAsia"/>
                <w:sz w:val="24"/>
                <w:highlight w:val="none"/>
              </w:rPr>
            </w:pPr>
            <w:r>
              <w:rPr>
                <w:rFonts w:hint="eastAsia"/>
                <w:sz w:val="24"/>
                <w:highlight w:val="none"/>
              </w:rPr>
              <w:t>处  罚  内  容</w:t>
            </w:r>
          </w:p>
        </w:tc>
        <w:tc>
          <w:tcPr>
            <w:tcW w:w="1850" w:type="dxa"/>
            <w:vAlign w:val="top"/>
          </w:tcPr>
          <w:p>
            <w:pPr>
              <w:spacing w:line="440" w:lineRule="exact"/>
              <w:ind w:firstLine="120" w:firstLineChars="50"/>
              <w:rPr>
                <w:rFonts w:hint="eastAsia"/>
                <w:sz w:val="24"/>
                <w:highlight w:val="none"/>
              </w:rPr>
            </w:pPr>
            <w:r>
              <w:rPr>
                <w:rFonts w:hint="eastAsia"/>
                <w:sz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w:t>
            </w:r>
          </w:p>
        </w:tc>
        <w:tc>
          <w:tcPr>
            <w:tcW w:w="7940" w:type="dxa"/>
            <w:vAlign w:val="top"/>
          </w:tcPr>
          <w:p>
            <w:pPr>
              <w:spacing w:line="440" w:lineRule="exact"/>
              <w:rPr>
                <w:rFonts w:hint="eastAsia"/>
                <w:sz w:val="24"/>
                <w:highlight w:val="none"/>
              </w:rPr>
            </w:pPr>
            <w:r>
              <w:rPr>
                <w:rFonts w:hint="eastAsia"/>
                <w:sz w:val="24"/>
                <w:highlight w:val="none"/>
              </w:rPr>
              <w:t>入场劳务管理人员、及员工必须按照操作规桯、安全管理的规章制度执行。不服从管理规定。</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2</w:t>
            </w:r>
          </w:p>
        </w:tc>
        <w:tc>
          <w:tcPr>
            <w:tcW w:w="7940" w:type="dxa"/>
            <w:vAlign w:val="top"/>
          </w:tcPr>
          <w:p>
            <w:pPr>
              <w:spacing w:line="440" w:lineRule="exact"/>
              <w:rPr>
                <w:rFonts w:hint="eastAsia"/>
                <w:sz w:val="24"/>
                <w:highlight w:val="none"/>
              </w:rPr>
            </w:pPr>
            <w:r>
              <w:rPr>
                <w:rFonts w:hint="eastAsia"/>
                <w:sz w:val="24"/>
                <w:highlight w:val="none"/>
              </w:rPr>
              <w:t>安全、质量项目部口头戓书面提岀整改的，不按时整改回复。</w:t>
            </w:r>
          </w:p>
        </w:tc>
        <w:tc>
          <w:tcPr>
            <w:tcW w:w="1850" w:type="dxa"/>
            <w:vAlign w:val="top"/>
          </w:tcPr>
          <w:p>
            <w:pPr>
              <w:spacing w:line="440" w:lineRule="exact"/>
              <w:rPr>
                <w:rFonts w:hint="eastAsia"/>
                <w:sz w:val="24"/>
                <w:highlight w:val="none"/>
              </w:rPr>
            </w:pPr>
            <w:r>
              <w:rPr>
                <w:rFonts w:hint="eastAsia"/>
                <w:sz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3</w:t>
            </w:r>
          </w:p>
        </w:tc>
        <w:tc>
          <w:tcPr>
            <w:tcW w:w="7940" w:type="dxa"/>
            <w:vAlign w:val="top"/>
          </w:tcPr>
          <w:p>
            <w:pPr>
              <w:spacing w:line="440" w:lineRule="exact"/>
              <w:rPr>
                <w:rFonts w:hint="eastAsia"/>
                <w:sz w:val="24"/>
                <w:highlight w:val="none"/>
              </w:rPr>
            </w:pPr>
            <w:r>
              <w:rPr>
                <w:rFonts w:hint="eastAsia"/>
                <w:sz w:val="24"/>
                <w:highlight w:val="none"/>
              </w:rPr>
              <w:t>进入施工现场未戴安全帽。</w:t>
            </w:r>
          </w:p>
        </w:tc>
        <w:tc>
          <w:tcPr>
            <w:tcW w:w="1850" w:type="dxa"/>
            <w:vAlign w:val="top"/>
          </w:tcPr>
          <w:p>
            <w:pPr>
              <w:spacing w:line="440" w:lineRule="exact"/>
              <w:rPr>
                <w:rFonts w:hint="eastAsia"/>
                <w:sz w:val="24"/>
                <w:highlight w:val="none"/>
              </w:rPr>
            </w:pPr>
            <w:r>
              <w:rPr>
                <w:rFonts w:hint="eastAsia"/>
                <w:sz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4</w:t>
            </w:r>
          </w:p>
        </w:tc>
        <w:tc>
          <w:tcPr>
            <w:tcW w:w="7940" w:type="dxa"/>
            <w:vAlign w:val="top"/>
          </w:tcPr>
          <w:p>
            <w:pPr>
              <w:spacing w:line="440" w:lineRule="exact"/>
              <w:rPr>
                <w:rFonts w:hint="eastAsia"/>
                <w:sz w:val="24"/>
                <w:highlight w:val="none"/>
              </w:rPr>
            </w:pPr>
            <w:r>
              <w:rPr>
                <w:rFonts w:hint="eastAsia"/>
                <w:sz w:val="24"/>
                <w:highlight w:val="none"/>
              </w:rPr>
              <w:t>高处作业未背安全带 、未挂安全带。</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5</w:t>
            </w:r>
          </w:p>
        </w:tc>
        <w:tc>
          <w:tcPr>
            <w:tcW w:w="7940" w:type="dxa"/>
            <w:vAlign w:val="top"/>
          </w:tcPr>
          <w:p>
            <w:pPr>
              <w:spacing w:line="440" w:lineRule="exact"/>
              <w:rPr>
                <w:rFonts w:hint="eastAsia"/>
                <w:sz w:val="24"/>
                <w:highlight w:val="none"/>
              </w:rPr>
            </w:pPr>
            <w:r>
              <w:rPr>
                <w:rFonts w:hint="eastAsia"/>
                <w:sz w:val="24"/>
                <w:highlight w:val="none"/>
              </w:rPr>
              <w:t>接到(隐患整改单) 后, 顾意拖延执行。</w:t>
            </w:r>
          </w:p>
        </w:tc>
        <w:tc>
          <w:tcPr>
            <w:tcW w:w="1850" w:type="dxa"/>
            <w:vAlign w:val="top"/>
          </w:tcPr>
          <w:p>
            <w:pPr>
              <w:spacing w:line="440" w:lineRule="exact"/>
              <w:rPr>
                <w:rFonts w:hint="eastAsia"/>
                <w:sz w:val="24"/>
                <w:highlight w:val="none"/>
              </w:rPr>
            </w:pPr>
            <w:r>
              <w:rPr>
                <w:rFonts w:hint="eastAsia"/>
                <w:sz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6</w:t>
            </w:r>
          </w:p>
        </w:tc>
        <w:tc>
          <w:tcPr>
            <w:tcW w:w="7940" w:type="dxa"/>
            <w:vAlign w:val="top"/>
          </w:tcPr>
          <w:p>
            <w:pPr>
              <w:spacing w:line="440" w:lineRule="exact"/>
              <w:rPr>
                <w:rFonts w:hint="eastAsia"/>
                <w:sz w:val="24"/>
                <w:highlight w:val="none"/>
              </w:rPr>
            </w:pPr>
            <w:r>
              <w:rPr>
                <w:rFonts w:hint="eastAsia"/>
                <w:sz w:val="24"/>
                <w:highlight w:val="none"/>
              </w:rPr>
              <w:t>新进场工人未经三级教育就安排上岗作业的(以教育记录卡为依据)。</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7</w:t>
            </w:r>
          </w:p>
        </w:tc>
        <w:tc>
          <w:tcPr>
            <w:tcW w:w="7940" w:type="dxa"/>
            <w:vAlign w:val="top"/>
          </w:tcPr>
          <w:p>
            <w:pPr>
              <w:spacing w:line="440" w:lineRule="exact"/>
              <w:rPr>
                <w:rFonts w:hint="eastAsia"/>
                <w:sz w:val="24"/>
                <w:highlight w:val="none"/>
              </w:rPr>
            </w:pPr>
            <w:r>
              <w:rPr>
                <w:rFonts w:hint="eastAsia"/>
                <w:sz w:val="24"/>
                <w:highlight w:val="none"/>
              </w:rPr>
              <w:t>项目通知安全、质量学习不及时到会场（有代签字的）。</w:t>
            </w:r>
          </w:p>
        </w:tc>
        <w:tc>
          <w:tcPr>
            <w:tcW w:w="1850" w:type="dxa"/>
            <w:vAlign w:val="top"/>
          </w:tcPr>
          <w:p>
            <w:pPr>
              <w:spacing w:line="440" w:lineRule="exact"/>
              <w:rPr>
                <w:rFonts w:hint="eastAsia"/>
                <w:sz w:val="24"/>
                <w:highlight w:val="none"/>
              </w:rPr>
            </w:pPr>
            <w:r>
              <w:rPr>
                <w:rFonts w:hint="eastAsia"/>
                <w:sz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8</w:t>
            </w:r>
          </w:p>
        </w:tc>
        <w:tc>
          <w:tcPr>
            <w:tcW w:w="7940" w:type="dxa"/>
            <w:vAlign w:val="top"/>
          </w:tcPr>
          <w:p>
            <w:pPr>
              <w:spacing w:line="440" w:lineRule="exact"/>
              <w:rPr>
                <w:rFonts w:hint="eastAsia"/>
                <w:sz w:val="24"/>
                <w:highlight w:val="none"/>
              </w:rPr>
            </w:pPr>
            <w:r>
              <w:rPr>
                <w:rFonts w:hint="eastAsia"/>
                <w:sz w:val="24"/>
                <w:highlight w:val="none"/>
              </w:rPr>
              <w:t>各劳务、分包班组工人在宿舍私拉乱接电线，使用100w以上照明、烤物取暖、超负荷用电烧水做饭。</w:t>
            </w:r>
          </w:p>
        </w:tc>
        <w:tc>
          <w:tcPr>
            <w:tcW w:w="1850" w:type="dxa"/>
            <w:vAlign w:val="top"/>
          </w:tcPr>
          <w:p>
            <w:pPr>
              <w:spacing w:line="440" w:lineRule="exact"/>
              <w:rPr>
                <w:rFonts w:hint="eastAsia"/>
                <w:sz w:val="24"/>
                <w:highlight w:val="none"/>
              </w:rPr>
            </w:pPr>
            <w:r>
              <w:rPr>
                <w:rFonts w:hint="eastAsia"/>
                <w:sz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9</w:t>
            </w:r>
          </w:p>
        </w:tc>
        <w:tc>
          <w:tcPr>
            <w:tcW w:w="7940" w:type="dxa"/>
            <w:vAlign w:val="top"/>
          </w:tcPr>
          <w:p>
            <w:pPr>
              <w:spacing w:line="440" w:lineRule="exact"/>
              <w:rPr>
                <w:rFonts w:hint="eastAsia"/>
                <w:sz w:val="24"/>
                <w:highlight w:val="none"/>
              </w:rPr>
            </w:pPr>
            <w:r>
              <w:rPr>
                <w:rFonts w:hint="eastAsia"/>
                <w:sz w:val="24"/>
                <w:highlight w:val="none"/>
              </w:rPr>
              <w:t>各班组工人在生活区乱倒垃圾的。</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10</w:t>
            </w:r>
          </w:p>
        </w:tc>
        <w:tc>
          <w:tcPr>
            <w:tcW w:w="7940" w:type="dxa"/>
            <w:vAlign w:val="top"/>
          </w:tcPr>
          <w:p>
            <w:pPr>
              <w:spacing w:line="440" w:lineRule="exact"/>
              <w:rPr>
                <w:rFonts w:hint="eastAsia"/>
                <w:sz w:val="24"/>
                <w:highlight w:val="none"/>
              </w:rPr>
            </w:pPr>
            <w:r>
              <w:rPr>
                <w:rFonts w:hint="eastAsia"/>
                <w:sz w:val="24"/>
                <w:highlight w:val="none"/>
              </w:rPr>
              <w:t>明知作业环危险, 不具备作业条件, 夜间、冬期安排危险作业，不采取措施，其它违章指挥操作的。</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11</w:t>
            </w:r>
          </w:p>
        </w:tc>
        <w:tc>
          <w:tcPr>
            <w:tcW w:w="7940" w:type="dxa"/>
            <w:vAlign w:val="top"/>
          </w:tcPr>
          <w:p>
            <w:pPr>
              <w:spacing w:line="440" w:lineRule="exact"/>
              <w:rPr>
                <w:rFonts w:hint="eastAsia"/>
                <w:sz w:val="24"/>
                <w:highlight w:val="none"/>
              </w:rPr>
            </w:pPr>
            <w:r>
              <w:rPr>
                <w:rFonts w:hint="eastAsia"/>
                <w:sz w:val="24"/>
                <w:highlight w:val="none"/>
              </w:rPr>
              <w:t>门卫保安未执行施工现场规定，进岀车辆、人员必须登记。</w:t>
            </w:r>
          </w:p>
        </w:tc>
        <w:tc>
          <w:tcPr>
            <w:tcW w:w="1850" w:type="dxa"/>
            <w:vAlign w:val="top"/>
          </w:tcPr>
          <w:p>
            <w:pPr>
              <w:spacing w:line="440" w:lineRule="exact"/>
              <w:rPr>
                <w:rFonts w:hint="eastAsia"/>
                <w:sz w:val="24"/>
                <w:highlight w:val="none"/>
              </w:rPr>
            </w:pPr>
            <w:r>
              <w:rPr>
                <w:rFonts w:hint="eastAsia"/>
                <w:sz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12</w:t>
            </w:r>
          </w:p>
        </w:tc>
        <w:tc>
          <w:tcPr>
            <w:tcW w:w="7940" w:type="dxa"/>
            <w:vAlign w:val="top"/>
          </w:tcPr>
          <w:p>
            <w:pPr>
              <w:spacing w:line="440" w:lineRule="exact"/>
              <w:rPr>
                <w:rFonts w:hint="eastAsia"/>
                <w:sz w:val="24"/>
                <w:highlight w:val="none"/>
              </w:rPr>
            </w:pPr>
            <w:r>
              <w:rPr>
                <w:rFonts w:hint="eastAsia"/>
                <w:sz w:val="24"/>
                <w:highlight w:val="none"/>
              </w:rPr>
              <w:t>严禁工人在施工现场追跑、打闹及携带老人、小孩进入施工现场。</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13</w:t>
            </w:r>
          </w:p>
        </w:tc>
        <w:tc>
          <w:tcPr>
            <w:tcW w:w="7940" w:type="dxa"/>
            <w:vAlign w:val="top"/>
          </w:tcPr>
          <w:p>
            <w:pPr>
              <w:spacing w:line="440" w:lineRule="exact"/>
              <w:rPr>
                <w:rFonts w:hint="eastAsia"/>
                <w:sz w:val="24"/>
                <w:highlight w:val="none"/>
              </w:rPr>
            </w:pPr>
            <w:r>
              <w:rPr>
                <w:rFonts w:hint="eastAsia"/>
                <w:sz w:val="24"/>
                <w:highlight w:val="none"/>
              </w:rPr>
              <w:t>无特种作业操作证的（电工、焊工、架工、塔吊司机、信号工及提笼）操作证等。</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14</w:t>
            </w:r>
          </w:p>
        </w:tc>
        <w:tc>
          <w:tcPr>
            <w:tcW w:w="7940" w:type="dxa"/>
            <w:vAlign w:val="top"/>
          </w:tcPr>
          <w:p>
            <w:pPr>
              <w:spacing w:line="440" w:lineRule="exact"/>
              <w:rPr>
                <w:rFonts w:hint="eastAsia"/>
                <w:sz w:val="24"/>
                <w:highlight w:val="none"/>
              </w:rPr>
            </w:pPr>
            <w:r>
              <w:rPr>
                <w:rFonts w:hint="eastAsia"/>
                <w:sz w:val="24"/>
                <w:highlight w:val="none"/>
              </w:rPr>
              <w:t>招用老年工、童工或残疾人，（特殊保护规定）所规定的禁忌劳工。</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15</w:t>
            </w:r>
          </w:p>
        </w:tc>
        <w:tc>
          <w:tcPr>
            <w:tcW w:w="7940" w:type="dxa"/>
            <w:vAlign w:val="top"/>
          </w:tcPr>
          <w:p>
            <w:pPr>
              <w:spacing w:line="440" w:lineRule="exact"/>
              <w:rPr>
                <w:rFonts w:hint="eastAsia"/>
                <w:sz w:val="24"/>
                <w:highlight w:val="none"/>
              </w:rPr>
            </w:pPr>
            <w:r>
              <w:rPr>
                <w:rFonts w:hint="eastAsia"/>
                <w:sz w:val="24"/>
                <w:highlight w:val="none"/>
              </w:rPr>
              <w:t>违章指挥,造成未遂事故(没有发生人员伤害的)。</w:t>
            </w:r>
          </w:p>
        </w:tc>
        <w:tc>
          <w:tcPr>
            <w:tcW w:w="1850" w:type="dxa"/>
            <w:vAlign w:val="top"/>
          </w:tcPr>
          <w:p>
            <w:pPr>
              <w:spacing w:line="440" w:lineRule="exact"/>
              <w:rPr>
                <w:rFonts w:hint="eastAsia"/>
                <w:sz w:val="24"/>
                <w:highlight w:val="none"/>
              </w:rPr>
            </w:pPr>
            <w:r>
              <w:rPr>
                <w:rFonts w:hint="eastAsia"/>
                <w:sz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16</w:t>
            </w:r>
          </w:p>
        </w:tc>
        <w:tc>
          <w:tcPr>
            <w:tcW w:w="7940" w:type="dxa"/>
            <w:vAlign w:val="top"/>
          </w:tcPr>
          <w:p>
            <w:pPr>
              <w:spacing w:line="440" w:lineRule="exact"/>
              <w:rPr>
                <w:rFonts w:hint="eastAsia"/>
                <w:sz w:val="24"/>
                <w:highlight w:val="none"/>
              </w:rPr>
            </w:pPr>
            <w:r>
              <w:rPr>
                <w:rFonts w:hint="eastAsia"/>
                <w:sz w:val="24"/>
                <w:highlight w:val="none"/>
              </w:rPr>
              <w:t>严禁酗酒闹事, 打架斗殴、聚众赌博等行违。</w:t>
            </w:r>
          </w:p>
        </w:tc>
        <w:tc>
          <w:tcPr>
            <w:tcW w:w="1850" w:type="dxa"/>
            <w:vAlign w:val="top"/>
          </w:tcPr>
          <w:p>
            <w:pPr>
              <w:spacing w:line="440" w:lineRule="exact"/>
              <w:rPr>
                <w:rFonts w:hint="eastAsia"/>
                <w:sz w:val="24"/>
                <w:highlight w:val="none"/>
              </w:rPr>
            </w:pPr>
            <w:r>
              <w:rPr>
                <w:rFonts w:hint="eastAsia"/>
                <w:sz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17</w:t>
            </w:r>
          </w:p>
        </w:tc>
        <w:tc>
          <w:tcPr>
            <w:tcW w:w="7940" w:type="dxa"/>
            <w:vAlign w:val="top"/>
          </w:tcPr>
          <w:p>
            <w:pPr>
              <w:spacing w:line="440" w:lineRule="exact"/>
              <w:rPr>
                <w:rFonts w:hint="eastAsia"/>
                <w:sz w:val="24"/>
                <w:highlight w:val="none"/>
              </w:rPr>
            </w:pPr>
            <w:r>
              <w:rPr>
                <w:rFonts w:hint="eastAsia"/>
                <w:sz w:val="24"/>
                <w:highlight w:val="none"/>
              </w:rPr>
              <w:t>项目宿舍的公物不得随意损坏。</w:t>
            </w:r>
          </w:p>
        </w:tc>
        <w:tc>
          <w:tcPr>
            <w:tcW w:w="1850" w:type="dxa"/>
            <w:vAlign w:val="top"/>
          </w:tcPr>
          <w:p>
            <w:pPr>
              <w:spacing w:line="440" w:lineRule="exact"/>
              <w:rPr>
                <w:rFonts w:hint="eastAsia"/>
                <w:sz w:val="24"/>
                <w:highlight w:val="none"/>
              </w:rPr>
            </w:pPr>
            <w:r>
              <w:rPr>
                <w:rFonts w:hint="eastAsia"/>
                <w:sz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18</w:t>
            </w:r>
          </w:p>
        </w:tc>
        <w:tc>
          <w:tcPr>
            <w:tcW w:w="7940" w:type="dxa"/>
            <w:vAlign w:val="top"/>
          </w:tcPr>
          <w:p>
            <w:pPr>
              <w:spacing w:line="440" w:lineRule="exact"/>
              <w:rPr>
                <w:rFonts w:hint="eastAsia"/>
                <w:sz w:val="24"/>
                <w:highlight w:val="none"/>
              </w:rPr>
            </w:pPr>
            <w:r>
              <w:rPr>
                <w:rFonts w:hint="eastAsia"/>
                <w:sz w:val="24"/>
                <w:highlight w:val="none"/>
              </w:rPr>
              <w:t>任何班组员工便于自已操作，损坏安全防护未及时恢复。</w:t>
            </w:r>
          </w:p>
        </w:tc>
        <w:tc>
          <w:tcPr>
            <w:tcW w:w="1850" w:type="dxa"/>
            <w:vAlign w:val="top"/>
          </w:tcPr>
          <w:p>
            <w:pPr>
              <w:spacing w:line="440" w:lineRule="exact"/>
              <w:rPr>
                <w:rFonts w:hint="eastAsia"/>
                <w:sz w:val="24"/>
                <w:highlight w:val="none"/>
              </w:rPr>
            </w:pPr>
            <w:r>
              <w:rPr>
                <w:rFonts w:hint="eastAsia"/>
                <w:sz w:val="24"/>
                <w:highlight w:val="none"/>
              </w:rPr>
              <w:t>每次500</w:t>
            </w:r>
          </w:p>
        </w:tc>
      </w:tr>
    </w:tbl>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                     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w:t>
      </w: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500861026"/>
      <w:bookmarkStart w:id="1" w:name="_Toc454701405"/>
      <w:bookmarkStart w:id="2" w:name="_Toc6727971"/>
      <w:bookmarkStart w:id="3" w:name="_Toc468157564"/>
      <w:bookmarkStart w:id="4" w:name="_Toc65998015"/>
      <w:bookmarkStart w:id="5" w:name="_Toc467987851"/>
      <w:bookmarkStart w:id="6" w:name="_Toc6397150"/>
      <w:bookmarkStart w:id="7" w:name="_Toc479991610"/>
      <w:bookmarkStart w:id="8" w:name="_Toc90779595"/>
      <w:bookmarkStart w:id="9" w:name="_Toc123786880"/>
      <w:bookmarkStart w:id="10" w:name="_Toc480010736"/>
      <w:bookmarkStart w:id="11" w:name="_Toc480021081"/>
      <w:bookmarkStart w:id="12" w:name="_Toc491658679"/>
      <w:bookmarkStart w:id="13" w:name="_Toc468606057"/>
      <w:bookmarkStart w:id="14" w:name="_Toc480020285"/>
      <w:bookmarkStart w:id="15" w:name="_Toc467236768"/>
      <w:bookmarkStart w:id="16" w:name="_Toc458262638"/>
      <w:r>
        <w:rPr>
          <w:rFonts w:hint="eastAsia" w:ascii="Calibri" w:hAnsi="Calibri" w:eastAsia="宋体" w:cs="宋体"/>
          <w:b/>
          <w:bCs/>
          <w:color w:val="auto"/>
          <w:w w:val="90"/>
          <w:sz w:val="44"/>
          <w:szCs w:val="44"/>
          <w:highlight w:val="none"/>
          <w:lang w:val="en-US" w:eastAsia="zh-CN"/>
        </w:rPr>
        <w:t>数字创意产业园配套工程EPC总承包项目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弱电智能化工程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red"/>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2020-01-024</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26066260"/>
      <w:bookmarkStart w:id="19" w:name="_Toc6397151"/>
      <w:bookmarkStart w:id="20" w:name="_Toc90779596"/>
      <w:bookmarkStart w:id="21" w:name="_Toc6727972"/>
      <w:bookmarkStart w:id="22" w:name="_Toc491658680"/>
      <w:bookmarkStart w:id="23" w:name="_Toc500861027"/>
      <w:bookmarkStart w:id="24" w:name="_Toc65998016"/>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数字创意产业园配套工程EPC总承包项目弱电智能化专业分包</w:t>
      </w:r>
      <w:r>
        <w:rPr>
          <w:rFonts w:hint="eastAsia" w:ascii="宋体" w:hAnsi="宋体" w:cs="宋体"/>
          <w:color w:val="auto"/>
          <w:sz w:val="28"/>
          <w:szCs w:val="28"/>
          <w:highlight w:val="none"/>
        </w:rPr>
        <w:t>（项目名称）招采文件的全部内容，愿意以</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含税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val="en-US" w:eastAsia="zh-CN"/>
        </w:rPr>
        <w:t>下浮比例</w:t>
      </w:r>
      <w:r>
        <w:rPr>
          <w:rFonts w:hint="eastAsia" w:ascii="宋体" w:hAnsi="宋体" w:cs="宋体"/>
          <w:color w:val="auto"/>
          <w:sz w:val="28"/>
          <w:szCs w:val="28"/>
          <w:highlight w:val="none"/>
        </w:rPr>
        <w:t>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 xml:space="preserve"> </w:t>
      </w:r>
      <w:r>
        <w:rPr>
          <w:rFonts w:hint="eastAsia" w:ascii="宋体" w:hAnsi="宋体" w:eastAsia="宋体" w:cs="宋体"/>
          <w:b w:val="0"/>
          <w:bCs/>
          <w:color w:val="auto"/>
          <w:kern w:val="2"/>
          <w:sz w:val="28"/>
          <w:szCs w:val="28"/>
          <w:highlight w:val="none"/>
          <w:u w:val="single"/>
          <w:lang w:val="en-US" w:eastAsia="zh-CN"/>
        </w:rPr>
        <w:t>数字创意产业园配套工程EPC总承包项目弱电智能化专业分包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eastAsia="zh-CN"/>
        </w:rPr>
        <w:t>2020-01-024</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hint="eastAsia" w:ascii="宋体" w:hAnsi="宋体"/>
          <w:color w:val="auto"/>
          <w:szCs w:val="21"/>
          <w:highlight w:val="none"/>
        </w:rPr>
      </w:pPr>
      <w:bookmarkStart w:id="26" w:name="_Toc123786882"/>
      <w:bookmarkStart w:id="27" w:name="_Toc123786884"/>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val="en-US" w:eastAsia="zh-CN"/>
        </w:rPr>
        <w:t>数字创意产业园配套工程EPC总承包项目弱电智能化专业分包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2020-01-024</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3"/>
        <w:tblpPr w:leftFromText="180" w:rightFromText="180" w:vertAnchor="text" w:horzAnchor="page" w:tblpX="827" w:tblpY="559"/>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420"/>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w:t>
            </w:r>
            <w:r>
              <w:rPr>
                <w:rFonts w:hint="eastAsia" w:ascii="宋体" w:hAnsi="宋体" w:eastAsia="宋体" w:cs="宋体"/>
                <w:sz w:val="28"/>
                <w:szCs w:val="28"/>
                <w:highlight w:val="none"/>
                <w:lang w:val="en-US" w:eastAsia="zh-CN"/>
              </w:rPr>
              <w:t>资格证书</w:t>
            </w:r>
            <w:r>
              <w:rPr>
                <w:rFonts w:hint="eastAsia" w:ascii="宋体" w:hAnsi="宋体" w:eastAsia="宋体" w:cs="宋体"/>
                <w:sz w:val="28"/>
                <w:szCs w:val="28"/>
                <w:highlight w:val="none"/>
              </w:rPr>
              <w:t>为不可缺少人员资料</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建设行政主管部门颁发的有效的证书复印件并加盖公章</w:t>
            </w:r>
            <w:r>
              <w:rPr>
                <w:rFonts w:hint="eastAsia" w:ascii="宋体" w:hAnsi="宋体" w:eastAsia="宋体" w:cs="宋体"/>
                <w:b w:val="0"/>
                <w:kern w:val="2"/>
                <w:sz w:val="28"/>
                <w:szCs w:val="28"/>
                <w:highlight w:val="none"/>
                <w:lang w:val="en-US" w:eastAsia="zh-CN" w:bidi="ar-SA"/>
              </w:rPr>
              <w:t>等</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级</w:t>
      </w:r>
      <w:r>
        <w:rPr>
          <w:rFonts w:hint="eastAsia" w:ascii="宋体" w:hAnsi="宋体" w:eastAsia="宋体" w:cs="宋体"/>
          <w:sz w:val="28"/>
          <w:szCs w:val="28"/>
          <w:highlight w:val="none"/>
        </w:rPr>
        <w:t>建造师证复印件并加盖公章）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安全员(附建设行政主管部门颁发的有效的证书和安全生产考核C 证复印件并加盖公章</w:t>
      </w:r>
      <w:r>
        <w:rPr>
          <w:rFonts w:hint="eastAsia" w:ascii="宋体" w:hAnsi="宋体" w:eastAsia="宋体" w:cs="宋体"/>
          <w:sz w:val="28"/>
          <w:szCs w:val="28"/>
          <w:highlight w:val="none"/>
          <w:lang w:val="en-US" w:eastAsia="zh-CN"/>
        </w:rPr>
        <w:t>）</w:t>
      </w:r>
    </w:p>
    <w:p>
      <w:pPr>
        <w:pStyle w:val="2"/>
        <w:rPr>
          <w:rFonts w:hint="eastAsia"/>
        </w:rPr>
      </w:pPr>
    </w:p>
    <w:p>
      <w:pPr>
        <w:rPr>
          <w:rFonts w:hint="eastAsia"/>
        </w:rPr>
      </w:pPr>
    </w:p>
    <w:p>
      <w:pPr>
        <w:rPr>
          <w:rFonts w:hint="eastAsia"/>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p>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数字创意产业园配套工程EPC总承包项目</w:t>
      </w:r>
    </w:p>
    <w:p>
      <w:pPr>
        <w:jc w:val="center"/>
        <w:rPr>
          <w:rFonts w:ascii="宋体" w:hAnsi="宋体"/>
          <w:b/>
          <w:bCs/>
          <w:color w:val="auto"/>
          <w:sz w:val="32"/>
          <w:szCs w:val="32"/>
          <w:highlight w:val="none"/>
        </w:rPr>
      </w:pPr>
      <w:r>
        <w:rPr>
          <w:rFonts w:hint="eastAsia" w:ascii="宋体" w:hAnsi="宋体" w:cs="宋体"/>
          <w:b/>
          <w:bCs/>
          <w:color w:val="auto"/>
          <w:sz w:val="32"/>
          <w:szCs w:val="32"/>
          <w:highlight w:val="none"/>
          <w:lang w:val="en-US" w:eastAsia="zh-CN"/>
        </w:rPr>
        <w:t>弱电智能化专业分包</w:t>
      </w:r>
    </w:p>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tbl>
      <w:tblPr>
        <w:tblStyle w:val="13"/>
        <w:tblW w:w="5000" w:type="pct"/>
        <w:tblInd w:w="0" w:type="dxa"/>
        <w:shd w:val="clear" w:color="auto" w:fill="auto"/>
        <w:tblLayout w:type="autofit"/>
        <w:tblCellMar>
          <w:top w:w="0" w:type="dxa"/>
          <w:left w:w="0" w:type="dxa"/>
          <w:bottom w:w="0" w:type="dxa"/>
          <w:right w:w="0" w:type="dxa"/>
        </w:tblCellMar>
      </w:tblPr>
      <w:tblGrid>
        <w:gridCol w:w="588"/>
        <w:gridCol w:w="1817"/>
        <w:gridCol w:w="3132"/>
        <w:gridCol w:w="458"/>
        <w:gridCol w:w="1363"/>
        <w:gridCol w:w="1499"/>
        <w:gridCol w:w="714"/>
      </w:tblGrid>
      <w:tr>
        <w:tblPrEx>
          <w:shd w:val="clear" w:color="auto" w:fill="auto"/>
          <w:tblCellMar>
            <w:top w:w="0" w:type="dxa"/>
            <w:left w:w="0" w:type="dxa"/>
            <w:bottom w:w="0" w:type="dxa"/>
            <w:right w:w="0" w:type="dxa"/>
          </w:tblCellMar>
        </w:tblPrEx>
        <w:trPr>
          <w:trHeight w:val="900" w:hRule="atLeast"/>
        </w:trPr>
        <w:tc>
          <w:tcPr>
            <w:tcW w:w="3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序号</w:t>
            </w:r>
          </w:p>
        </w:tc>
        <w:tc>
          <w:tcPr>
            <w:tcW w:w="94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分部分项工程名称</w:t>
            </w:r>
          </w:p>
        </w:tc>
        <w:tc>
          <w:tcPr>
            <w:tcW w:w="16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项目特征及主要工程内容</w:t>
            </w:r>
          </w:p>
        </w:tc>
        <w:tc>
          <w:tcPr>
            <w:tcW w:w="2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计量单位</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最高限价</w:t>
            </w:r>
          </w:p>
        </w:tc>
        <w:tc>
          <w:tcPr>
            <w:tcW w:w="7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报价下浮比例</w:t>
            </w:r>
            <w:r>
              <w:rPr>
                <w:rFonts w:hint="default" w:ascii="宋体" w:hAnsi="宋体" w:eastAsia="宋体" w:cs="宋体"/>
                <w:b/>
                <w:i w:val="0"/>
                <w:color w:val="000000"/>
                <w:kern w:val="0"/>
                <w:sz w:val="20"/>
                <w:szCs w:val="20"/>
                <w:u w:val="none"/>
                <w:lang w:val="en-US" w:eastAsia="zh-CN" w:bidi="ar"/>
              </w:rPr>
              <w:br w:type="textWrapping"/>
            </w:r>
            <w:r>
              <w:rPr>
                <w:rFonts w:hint="default" w:ascii="宋体" w:hAnsi="宋体" w:eastAsia="宋体" w:cs="宋体"/>
                <w:b/>
                <w:i w:val="0"/>
                <w:color w:val="000000"/>
                <w:kern w:val="0"/>
                <w:sz w:val="20"/>
                <w:szCs w:val="20"/>
                <w:u w:val="none"/>
                <w:lang w:val="en-US" w:eastAsia="zh-CN" w:bidi="ar"/>
              </w:rPr>
              <w:t>（含税）</w:t>
            </w:r>
          </w:p>
        </w:tc>
        <w:tc>
          <w:tcPr>
            <w:tcW w:w="37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default"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7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弱电智能化工程</w:t>
            </w:r>
          </w:p>
        </w:tc>
        <w:tc>
          <w:tcPr>
            <w:tcW w:w="1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算机互联网系统、视频监控系统、报警系统、会议系统、出入口管理系统、电子巡更系统、综合布线系统的预留预埋及安装、材料、设备采购安装和检测检验、系统调试、专项验收、承包范围内所有弱电智能化工程资料的填写、整理、归档、取得竣工验收报告、以及培训移交、工程保修等所有相关工作内容。</w:t>
            </w:r>
          </w:p>
        </w:tc>
        <w:tc>
          <w:tcPr>
            <w:tcW w:w="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根据国家最终审计审定含税价下浮20.00%（预估总限价4540702.95元）。</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根据国家最终审计审定含税价下浮</w:t>
            </w:r>
            <w:r>
              <w:rPr>
                <w:rFonts w:hint="eastAsia" w:ascii="宋体" w:hAnsi="宋体" w:eastAsia="宋体" w:cs="宋体"/>
                <w:i w:val="0"/>
                <w:color w:val="000000"/>
                <w:sz w:val="20"/>
                <w:szCs w:val="20"/>
                <w:u w:val="none"/>
                <w:lang w:val="en-US" w:eastAsia="zh-CN"/>
              </w:rPr>
              <w:t xml:space="preserve">   %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0" w:hRule="atLeast"/>
        </w:trPr>
        <w:tc>
          <w:tcPr>
            <w:tcW w:w="31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3640" w:firstLineChars="1300"/>
        <w:rPr>
          <w:rFonts w:hint="eastAsia" w:ascii="宋体" w:hAnsi="宋体"/>
          <w:color w:val="auto"/>
          <w:sz w:val="28"/>
          <w:szCs w:val="28"/>
          <w:highlight w:val="none"/>
        </w:rPr>
      </w:pP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数字创意产业园配套工程EPC总承包项目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弱电智能化专业分包单位招</w:t>
      </w:r>
      <w:r>
        <w:rPr>
          <w:rFonts w:hint="eastAsia" w:ascii="Calibri" w:hAnsi="Calibri" w:eastAsia="宋体" w:cs="宋体"/>
          <w:b/>
          <w:bCs/>
          <w:color w:val="auto"/>
          <w:w w:val="90"/>
          <w:sz w:val="44"/>
          <w:szCs w:val="44"/>
          <w:highlight w:val="none"/>
          <w:lang w:eastAsia="zh-CN"/>
        </w:rPr>
        <w:t>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宋体" w:hAnsi="宋体" w:eastAsia="宋体" w:cs="宋体"/>
          <w:color w:val="auto"/>
          <w:sz w:val="28"/>
          <w:szCs w:val="22"/>
          <w:highlight w:val="none"/>
          <w:u w:val="single"/>
          <w:lang w:val="en-US" w:eastAsia="zh-CN"/>
        </w:rPr>
        <w:t xml:space="preserve">2020-01-024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gTC1HUAQAApw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wE5aUGKZx4uffv85/&#10;/p3//iSrZVFEiXoHFWbeO8wNwyc7YPp8D3gZmQ+t1/GLnAjGUeDTRWAxBMLjo7IoyxxDHGOzg/jZ&#10;43PnIXwWVpNo1NTjBJOw7PgVwpg6p8Rqxt5KpdIUlSE9oq7Kq1V6cQkhujJYJLIYu41WGHbDRG1n&#10;mxMy63ENampw6ylRXwyqHDdmNvxs7Gbj4Lzcd2mlYivgbg4B20ldxgoj7FQY55d4TrsWF+Spn7Ie&#10;/6/N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oEwtR1AEAAKcDAAAOAAAAAAAAAAEAIAAA&#10;ACIBAABkcnMvZTJvRG9jLnhtbFBLBQYAAAAABgAGAFkBAABo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AE5B"/>
    <w:multiLevelType w:val="singleLevel"/>
    <w:tmpl w:val="1415AE5B"/>
    <w:lvl w:ilvl="0" w:tentative="0">
      <w:start w:val="1"/>
      <w:numFmt w:val="decimal"/>
      <w:suff w:val="nothing"/>
      <w:lvlText w:val="（%1）"/>
      <w:lvlJc w:val="left"/>
    </w:lvl>
  </w:abstractNum>
  <w:abstractNum w:abstractNumId="1">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5211B"/>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12D3159"/>
    <w:rsid w:val="020066DB"/>
    <w:rsid w:val="02850771"/>
    <w:rsid w:val="02F20D79"/>
    <w:rsid w:val="02F7233E"/>
    <w:rsid w:val="0331682D"/>
    <w:rsid w:val="033C3AF6"/>
    <w:rsid w:val="03643C29"/>
    <w:rsid w:val="0365518B"/>
    <w:rsid w:val="037112F7"/>
    <w:rsid w:val="03901FA0"/>
    <w:rsid w:val="048619A5"/>
    <w:rsid w:val="055E0AD0"/>
    <w:rsid w:val="05781597"/>
    <w:rsid w:val="05C47081"/>
    <w:rsid w:val="063133AA"/>
    <w:rsid w:val="063B324B"/>
    <w:rsid w:val="07126C82"/>
    <w:rsid w:val="07551FF2"/>
    <w:rsid w:val="07BB3652"/>
    <w:rsid w:val="080747BF"/>
    <w:rsid w:val="08676DB9"/>
    <w:rsid w:val="08FE2A8E"/>
    <w:rsid w:val="090A0227"/>
    <w:rsid w:val="09CF1505"/>
    <w:rsid w:val="0A5366DA"/>
    <w:rsid w:val="0AF24B22"/>
    <w:rsid w:val="0AF86923"/>
    <w:rsid w:val="0B621D0C"/>
    <w:rsid w:val="0B8502F5"/>
    <w:rsid w:val="0C20723F"/>
    <w:rsid w:val="0C9F5740"/>
    <w:rsid w:val="0CBC6697"/>
    <w:rsid w:val="0CF531BA"/>
    <w:rsid w:val="0D2C05D7"/>
    <w:rsid w:val="0DA14A17"/>
    <w:rsid w:val="0DE70E63"/>
    <w:rsid w:val="0E151B8E"/>
    <w:rsid w:val="0E4E5818"/>
    <w:rsid w:val="0E7878D9"/>
    <w:rsid w:val="0E922A5D"/>
    <w:rsid w:val="0EEE1C77"/>
    <w:rsid w:val="0F897A30"/>
    <w:rsid w:val="0F8C5DFC"/>
    <w:rsid w:val="0F9C7301"/>
    <w:rsid w:val="0FA105A6"/>
    <w:rsid w:val="10044B39"/>
    <w:rsid w:val="101A44CA"/>
    <w:rsid w:val="108B0CB6"/>
    <w:rsid w:val="10E50934"/>
    <w:rsid w:val="119C0C20"/>
    <w:rsid w:val="11C773D9"/>
    <w:rsid w:val="123A0DCC"/>
    <w:rsid w:val="12470E51"/>
    <w:rsid w:val="12930DAE"/>
    <w:rsid w:val="12A511F2"/>
    <w:rsid w:val="12C216A0"/>
    <w:rsid w:val="13135F99"/>
    <w:rsid w:val="13182479"/>
    <w:rsid w:val="13E867DA"/>
    <w:rsid w:val="142323B1"/>
    <w:rsid w:val="14334B2B"/>
    <w:rsid w:val="1460320E"/>
    <w:rsid w:val="1498694E"/>
    <w:rsid w:val="14A11438"/>
    <w:rsid w:val="14F57535"/>
    <w:rsid w:val="150A7482"/>
    <w:rsid w:val="150E5D28"/>
    <w:rsid w:val="15977186"/>
    <w:rsid w:val="15E36240"/>
    <w:rsid w:val="15EF7D5C"/>
    <w:rsid w:val="16035513"/>
    <w:rsid w:val="17090B3B"/>
    <w:rsid w:val="174C4A0D"/>
    <w:rsid w:val="176E5EDE"/>
    <w:rsid w:val="179F23F1"/>
    <w:rsid w:val="17BC621C"/>
    <w:rsid w:val="17C5559A"/>
    <w:rsid w:val="17EB20FA"/>
    <w:rsid w:val="181D2455"/>
    <w:rsid w:val="188945FD"/>
    <w:rsid w:val="18A82DEB"/>
    <w:rsid w:val="18B14D20"/>
    <w:rsid w:val="18BD4A34"/>
    <w:rsid w:val="18E810AC"/>
    <w:rsid w:val="19BC3F11"/>
    <w:rsid w:val="19F42530"/>
    <w:rsid w:val="1A675099"/>
    <w:rsid w:val="1A78319C"/>
    <w:rsid w:val="1B993684"/>
    <w:rsid w:val="1BCD74AD"/>
    <w:rsid w:val="1BCE445F"/>
    <w:rsid w:val="1BEA641F"/>
    <w:rsid w:val="1C292F8D"/>
    <w:rsid w:val="1C4C0E22"/>
    <w:rsid w:val="1C82565B"/>
    <w:rsid w:val="1CA1698D"/>
    <w:rsid w:val="1CA26100"/>
    <w:rsid w:val="1CD36188"/>
    <w:rsid w:val="1D3F1897"/>
    <w:rsid w:val="1DE9282D"/>
    <w:rsid w:val="1E116E3D"/>
    <w:rsid w:val="1E65673A"/>
    <w:rsid w:val="1E820799"/>
    <w:rsid w:val="1ED36F66"/>
    <w:rsid w:val="1FC05330"/>
    <w:rsid w:val="1FD42E40"/>
    <w:rsid w:val="2011193D"/>
    <w:rsid w:val="2078097F"/>
    <w:rsid w:val="218766DD"/>
    <w:rsid w:val="220B5951"/>
    <w:rsid w:val="22564BEA"/>
    <w:rsid w:val="22602402"/>
    <w:rsid w:val="22DC3F06"/>
    <w:rsid w:val="23170A02"/>
    <w:rsid w:val="23F76AFE"/>
    <w:rsid w:val="24850E00"/>
    <w:rsid w:val="248D3585"/>
    <w:rsid w:val="24990E26"/>
    <w:rsid w:val="24E71476"/>
    <w:rsid w:val="250B341C"/>
    <w:rsid w:val="2519272F"/>
    <w:rsid w:val="253321E3"/>
    <w:rsid w:val="25476595"/>
    <w:rsid w:val="25FB59D0"/>
    <w:rsid w:val="264F1128"/>
    <w:rsid w:val="26662F6A"/>
    <w:rsid w:val="26B51D98"/>
    <w:rsid w:val="27D36095"/>
    <w:rsid w:val="27E93EC6"/>
    <w:rsid w:val="28835577"/>
    <w:rsid w:val="28F501CE"/>
    <w:rsid w:val="28F738FE"/>
    <w:rsid w:val="29085E53"/>
    <w:rsid w:val="291E2A1B"/>
    <w:rsid w:val="292F6BF4"/>
    <w:rsid w:val="29533DC6"/>
    <w:rsid w:val="298C18F2"/>
    <w:rsid w:val="29E32F40"/>
    <w:rsid w:val="2A282FBE"/>
    <w:rsid w:val="2A2C399D"/>
    <w:rsid w:val="2B063DBA"/>
    <w:rsid w:val="2B77177F"/>
    <w:rsid w:val="2C003AF7"/>
    <w:rsid w:val="2C3517B0"/>
    <w:rsid w:val="2C433BAF"/>
    <w:rsid w:val="2C4B25BC"/>
    <w:rsid w:val="2C5D4218"/>
    <w:rsid w:val="2C6029FF"/>
    <w:rsid w:val="2C7A7D16"/>
    <w:rsid w:val="2C8505BC"/>
    <w:rsid w:val="2CC72E63"/>
    <w:rsid w:val="2CF2292B"/>
    <w:rsid w:val="2D221876"/>
    <w:rsid w:val="2D517F39"/>
    <w:rsid w:val="2DE75A58"/>
    <w:rsid w:val="2DFF0C03"/>
    <w:rsid w:val="2E396A55"/>
    <w:rsid w:val="2F614736"/>
    <w:rsid w:val="2FB41F47"/>
    <w:rsid w:val="302C06BD"/>
    <w:rsid w:val="306667AF"/>
    <w:rsid w:val="30D638D9"/>
    <w:rsid w:val="30EB226E"/>
    <w:rsid w:val="31A63412"/>
    <w:rsid w:val="31F177B0"/>
    <w:rsid w:val="31F22C80"/>
    <w:rsid w:val="323979BF"/>
    <w:rsid w:val="32B02C90"/>
    <w:rsid w:val="33524BE6"/>
    <w:rsid w:val="33D52472"/>
    <w:rsid w:val="33F9294D"/>
    <w:rsid w:val="348653C5"/>
    <w:rsid w:val="34AA201F"/>
    <w:rsid w:val="34D22283"/>
    <w:rsid w:val="35410D2F"/>
    <w:rsid w:val="35BD194F"/>
    <w:rsid w:val="35C10EC0"/>
    <w:rsid w:val="365B4B93"/>
    <w:rsid w:val="36C764F5"/>
    <w:rsid w:val="36DF6E79"/>
    <w:rsid w:val="36F665A8"/>
    <w:rsid w:val="37962547"/>
    <w:rsid w:val="37EA5B8F"/>
    <w:rsid w:val="37F70304"/>
    <w:rsid w:val="38210BB4"/>
    <w:rsid w:val="38547BC7"/>
    <w:rsid w:val="39523625"/>
    <w:rsid w:val="3A1C5A3F"/>
    <w:rsid w:val="3A1E0E6E"/>
    <w:rsid w:val="3A367996"/>
    <w:rsid w:val="3A510B03"/>
    <w:rsid w:val="3A6E368E"/>
    <w:rsid w:val="3A944FC6"/>
    <w:rsid w:val="3AFC5472"/>
    <w:rsid w:val="3CFD04BB"/>
    <w:rsid w:val="3D3234B9"/>
    <w:rsid w:val="3D5C28C0"/>
    <w:rsid w:val="3D7E1929"/>
    <w:rsid w:val="3D9A74CB"/>
    <w:rsid w:val="3DDA4154"/>
    <w:rsid w:val="3E3A0577"/>
    <w:rsid w:val="3EA632A8"/>
    <w:rsid w:val="3EA679FB"/>
    <w:rsid w:val="3EBA0BF4"/>
    <w:rsid w:val="3F6962FA"/>
    <w:rsid w:val="3F742322"/>
    <w:rsid w:val="405B1742"/>
    <w:rsid w:val="417D4AB3"/>
    <w:rsid w:val="41867563"/>
    <w:rsid w:val="41C23074"/>
    <w:rsid w:val="41C344E2"/>
    <w:rsid w:val="41D81ECD"/>
    <w:rsid w:val="41DF3752"/>
    <w:rsid w:val="41F65BBD"/>
    <w:rsid w:val="428F358E"/>
    <w:rsid w:val="42B3753D"/>
    <w:rsid w:val="435A1AFD"/>
    <w:rsid w:val="43AE7476"/>
    <w:rsid w:val="4486172B"/>
    <w:rsid w:val="45290B74"/>
    <w:rsid w:val="45375669"/>
    <w:rsid w:val="45532E85"/>
    <w:rsid w:val="457F0892"/>
    <w:rsid w:val="459B7E42"/>
    <w:rsid w:val="45CF6C43"/>
    <w:rsid w:val="45E0599F"/>
    <w:rsid w:val="46752F85"/>
    <w:rsid w:val="46753D77"/>
    <w:rsid w:val="46977388"/>
    <w:rsid w:val="46CD2D9F"/>
    <w:rsid w:val="470D093B"/>
    <w:rsid w:val="470E1013"/>
    <w:rsid w:val="4732782A"/>
    <w:rsid w:val="476E0963"/>
    <w:rsid w:val="479877BB"/>
    <w:rsid w:val="480D2405"/>
    <w:rsid w:val="485B71FA"/>
    <w:rsid w:val="48665F1B"/>
    <w:rsid w:val="4870323F"/>
    <w:rsid w:val="48F812ED"/>
    <w:rsid w:val="49402DF6"/>
    <w:rsid w:val="499D3846"/>
    <w:rsid w:val="49D5128E"/>
    <w:rsid w:val="49E3356F"/>
    <w:rsid w:val="4A026112"/>
    <w:rsid w:val="4A3C454D"/>
    <w:rsid w:val="4ABB4F25"/>
    <w:rsid w:val="4ABE004A"/>
    <w:rsid w:val="4ACD02F6"/>
    <w:rsid w:val="4B0A0336"/>
    <w:rsid w:val="4BA542DC"/>
    <w:rsid w:val="4C142B1A"/>
    <w:rsid w:val="4CBF281A"/>
    <w:rsid w:val="4CE2494D"/>
    <w:rsid w:val="4CF4183C"/>
    <w:rsid w:val="4D052A34"/>
    <w:rsid w:val="4D505928"/>
    <w:rsid w:val="4D6233F6"/>
    <w:rsid w:val="4DD519EE"/>
    <w:rsid w:val="4DF76D7D"/>
    <w:rsid w:val="4DFC40AC"/>
    <w:rsid w:val="4E785092"/>
    <w:rsid w:val="4E9644D1"/>
    <w:rsid w:val="4F0E2329"/>
    <w:rsid w:val="4FE311F5"/>
    <w:rsid w:val="502227D4"/>
    <w:rsid w:val="502531D8"/>
    <w:rsid w:val="507D20DA"/>
    <w:rsid w:val="50FC1EE0"/>
    <w:rsid w:val="51551744"/>
    <w:rsid w:val="51BE13CD"/>
    <w:rsid w:val="51E4485C"/>
    <w:rsid w:val="520015E2"/>
    <w:rsid w:val="5298273F"/>
    <w:rsid w:val="52D6003C"/>
    <w:rsid w:val="52F664FA"/>
    <w:rsid w:val="53BD6161"/>
    <w:rsid w:val="53D458B0"/>
    <w:rsid w:val="541E2E21"/>
    <w:rsid w:val="54D0703B"/>
    <w:rsid w:val="54EE18E4"/>
    <w:rsid w:val="55184B7F"/>
    <w:rsid w:val="561A1E1F"/>
    <w:rsid w:val="568C2EF5"/>
    <w:rsid w:val="56F90CAF"/>
    <w:rsid w:val="57EA76A2"/>
    <w:rsid w:val="58175555"/>
    <w:rsid w:val="589D41C1"/>
    <w:rsid w:val="58C67C45"/>
    <w:rsid w:val="58CA093F"/>
    <w:rsid w:val="590B0432"/>
    <w:rsid w:val="59631E88"/>
    <w:rsid w:val="59812794"/>
    <w:rsid w:val="59CB67CA"/>
    <w:rsid w:val="5A9D0863"/>
    <w:rsid w:val="5ABC49AC"/>
    <w:rsid w:val="5B3257BD"/>
    <w:rsid w:val="5B85168F"/>
    <w:rsid w:val="5B961925"/>
    <w:rsid w:val="5B9D09AD"/>
    <w:rsid w:val="5B9D2045"/>
    <w:rsid w:val="5C7B40F4"/>
    <w:rsid w:val="5CA04D0B"/>
    <w:rsid w:val="5D0122EF"/>
    <w:rsid w:val="5D2319F4"/>
    <w:rsid w:val="5D285253"/>
    <w:rsid w:val="5D6435DF"/>
    <w:rsid w:val="5D663F3A"/>
    <w:rsid w:val="5D732DC3"/>
    <w:rsid w:val="5E1456E1"/>
    <w:rsid w:val="5E165830"/>
    <w:rsid w:val="5E1B13B0"/>
    <w:rsid w:val="5E435A09"/>
    <w:rsid w:val="5EA246CE"/>
    <w:rsid w:val="5F7E30DD"/>
    <w:rsid w:val="5F802481"/>
    <w:rsid w:val="60494858"/>
    <w:rsid w:val="606062BE"/>
    <w:rsid w:val="60C07143"/>
    <w:rsid w:val="61155C32"/>
    <w:rsid w:val="617928CF"/>
    <w:rsid w:val="61BA624C"/>
    <w:rsid w:val="61E365B2"/>
    <w:rsid w:val="62006153"/>
    <w:rsid w:val="620C690F"/>
    <w:rsid w:val="622207D5"/>
    <w:rsid w:val="62474DCA"/>
    <w:rsid w:val="62A4477A"/>
    <w:rsid w:val="62B317BD"/>
    <w:rsid w:val="638A7BBF"/>
    <w:rsid w:val="63993EAB"/>
    <w:rsid w:val="642E2892"/>
    <w:rsid w:val="64E266C6"/>
    <w:rsid w:val="65006E26"/>
    <w:rsid w:val="65431268"/>
    <w:rsid w:val="65677F1B"/>
    <w:rsid w:val="66AB6EFE"/>
    <w:rsid w:val="66E758DE"/>
    <w:rsid w:val="66F933D6"/>
    <w:rsid w:val="67075746"/>
    <w:rsid w:val="67FA0CCD"/>
    <w:rsid w:val="68191119"/>
    <w:rsid w:val="686D1AFA"/>
    <w:rsid w:val="68C221E8"/>
    <w:rsid w:val="69AD2098"/>
    <w:rsid w:val="69B279EA"/>
    <w:rsid w:val="6A1506E3"/>
    <w:rsid w:val="6A192DE5"/>
    <w:rsid w:val="6A351234"/>
    <w:rsid w:val="6A6057DF"/>
    <w:rsid w:val="6AC66853"/>
    <w:rsid w:val="6AD34B19"/>
    <w:rsid w:val="6B717E5F"/>
    <w:rsid w:val="6C1E2C0C"/>
    <w:rsid w:val="6C39713D"/>
    <w:rsid w:val="6D2F1612"/>
    <w:rsid w:val="6D485CEB"/>
    <w:rsid w:val="6D8363F4"/>
    <w:rsid w:val="6E8E3DCB"/>
    <w:rsid w:val="6E8F6489"/>
    <w:rsid w:val="6EAE24BF"/>
    <w:rsid w:val="6EC66E88"/>
    <w:rsid w:val="6EF70B61"/>
    <w:rsid w:val="6EF8444F"/>
    <w:rsid w:val="6EFA722F"/>
    <w:rsid w:val="6F630DE2"/>
    <w:rsid w:val="701A345F"/>
    <w:rsid w:val="70AB34D3"/>
    <w:rsid w:val="70B97F58"/>
    <w:rsid w:val="710E0AED"/>
    <w:rsid w:val="7123100B"/>
    <w:rsid w:val="714C2F47"/>
    <w:rsid w:val="71931A69"/>
    <w:rsid w:val="71E107CB"/>
    <w:rsid w:val="724E361E"/>
    <w:rsid w:val="7261651D"/>
    <w:rsid w:val="72AF52A7"/>
    <w:rsid w:val="72D22CC6"/>
    <w:rsid w:val="72D91A28"/>
    <w:rsid w:val="73756AE8"/>
    <w:rsid w:val="73D05BB5"/>
    <w:rsid w:val="740059EF"/>
    <w:rsid w:val="742D3962"/>
    <w:rsid w:val="74685BF6"/>
    <w:rsid w:val="74AD2068"/>
    <w:rsid w:val="752955AD"/>
    <w:rsid w:val="754911D3"/>
    <w:rsid w:val="75BC001A"/>
    <w:rsid w:val="76014AA0"/>
    <w:rsid w:val="763210B0"/>
    <w:rsid w:val="76781C65"/>
    <w:rsid w:val="76B86027"/>
    <w:rsid w:val="773918AE"/>
    <w:rsid w:val="77C669A3"/>
    <w:rsid w:val="78203435"/>
    <w:rsid w:val="786166DC"/>
    <w:rsid w:val="78955951"/>
    <w:rsid w:val="78CC1BA3"/>
    <w:rsid w:val="793F5115"/>
    <w:rsid w:val="795B5BD3"/>
    <w:rsid w:val="7A7A5C31"/>
    <w:rsid w:val="7A7D1FFD"/>
    <w:rsid w:val="7A7E543C"/>
    <w:rsid w:val="7A9A6F0D"/>
    <w:rsid w:val="7AB55436"/>
    <w:rsid w:val="7AF958CA"/>
    <w:rsid w:val="7B3A4B7E"/>
    <w:rsid w:val="7B5613CF"/>
    <w:rsid w:val="7B9F37E2"/>
    <w:rsid w:val="7BE0108F"/>
    <w:rsid w:val="7C1709B7"/>
    <w:rsid w:val="7C192F36"/>
    <w:rsid w:val="7C5F2623"/>
    <w:rsid w:val="7D2E255B"/>
    <w:rsid w:val="7D3816DE"/>
    <w:rsid w:val="7D50779C"/>
    <w:rsid w:val="7D675DEF"/>
    <w:rsid w:val="7DB17D26"/>
    <w:rsid w:val="7E29527D"/>
    <w:rsid w:val="7E783708"/>
    <w:rsid w:val="7F172F4D"/>
    <w:rsid w:val="7F9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customStyle="1" w:styleId="19">
    <w:name w:val="标题 1 Char"/>
    <w:basedOn w:val="15"/>
    <w:link w:val="3"/>
    <w:qFormat/>
    <w:uiPriority w:val="0"/>
    <w:rPr>
      <w:rFonts w:hint="default" w:ascii="Calibri" w:hAnsi="Calibri" w:cs="Calibri"/>
      <w:b/>
      <w:kern w:val="44"/>
      <w:sz w:val="44"/>
      <w:szCs w:val="44"/>
    </w:rPr>
  </w:style>
  <w:style w:type="character" w:customStyle="1" w:styleId="20">
    <w:name w:val="批注文字 Char2"/>
    <w:basedOn w:val="15"/>
    <w:link w:val="6"/>
    <w:qFormat/>
    <w:uiPriority w:val="0"/>
    <w:rPr>
      <w:rFonts w:hint="default" w:ascii="Calibri" w:hAnsi="Calibri" w:cs="Calibri"/>
      <w:kern w:val="2"/>
      <w:sz w:val="21"/>
      <w:szCs w:val="22"/>
    </w:rPr>
  </w:style>
  <w:style w:type="character" w:customStyle="1" w:styleId="21">
    <w:name w:val="批注文字 Char"/>
    <w:basedOn w:val="15"/>
    <w:qFormat/>
    <w:uiPriority w:val="0"/>
    <w:rPr>
      <w:sz w:val="24"/>
    </w:rPr>
  </w:style>
  <w:style w:type="character" w:customStyle="1" w:styleId="22">
    <w:name w:val="标题 3 Char"/>
    <w:basedOn w:val="15"/>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5"/>
    <w:link w:val="6"/>
    <w:qFormat/>
    <w:uiPriority w:val="0"/>
    <w:rPr>
      <w:rFonts w:hint="default" w:ascii="Calibri" w:hAnsi="Calibri" w:cs="Calibri"/>
      <w:kern w:val="2"/>
      <w:sz w:val="21"/>
      <w:szCs w:val="22"/>
    </w:rPr>
  </w:style>
  <w:style w:type="character" w:customStyle="1" w:styleId="25">
    <w:name w:val="正文文本 Char"/>
    <w:basedOn w:val="15"/>
    <w:link w:val="7"/>
    <w:qFormat/>
    <w:uiPriority w:val="0"/>
    <w:rPr>
      <w:rFonts w:hint="eastAsia" w:ascii="宋体" w:hAnsi="宋体" w:eastAsia="宋体" w:cs="宋体"/>
      <w:kern w:val="2"/>
      <w:sz w:val="24"/>
      <w:szCs w:val="24"/>
    </w:rPr>
  </w:style>
  <w:style w:type="character" w:customStyle="1" w:styleId="26">
    <w:name w:val="文档结构图 Char1"/>
    <w:basedOn w:val="15"/>
    <w:link w:val="5"/>
    <w:qFormat/>
    <w:uiPriority w:val="0"/>
    <w:rPr>
      <w:rFonts w:hint="eastAsia" w:ascii="宋体" w:hAnsi="Calibri" w:eastAsia="宋体" w:cs="宋体"/>
      <w:kern w:val="2"/>
      <w:sz w:val="18"/>
      <w:szCs w:val="18"/>
    </w:rPr>
  </w:style>
  <w:style w:type="character" w:customStyle="1" w:styleId="27">
    <w:name w:val="批注框文本 Char"/>
    <w:basedOn w:val="15"/>
    <w:link w:val="8"/>
    <w:qFormat/>
    <w:uiPriority w:val="0"/>
    <w:rPr>
      <w:sz w:val="18"/>
      <w:szCs w:val="18"/>
    </w:rPr>
  </w:style>
  <w:style w:type="character" w:customStyle="1" w:styleId="28">
    <w:name w:val="页脚 Char1"/>
    <w:basedOn w:val="15"/>
    <w:link w:val="9"/>
    <w:qFormat/>
    <w:uiPriority w:val="0"/>
    <w:rPr>
      <w:rFonts w:hint="default" w:ascii="Calibri" w:hAnsi="Calibri" w:cs="Calibri"/>
      <w:kern w:val="2"/>
      <w:sz w:val="18"/>
      <w:szCs w:val="18"/>
    </w:rPr>
  </w:style>
  <w:style w:type="character" w:customStyle="1" w:styleId="29">
    <w:name w:val="标题 2 Char"/>
    <w:basedOn w:val="15"/>
    <w:link w:val="2"/>
    <w:qFormat/>
    <w:uiPriority w:val="0"/>
    <w:rPr>
      <w:rFonts w:hint="default" w:ascii="Cambria" w:hAnsi="Cambria" w:eastAsia="Cambria" w:cs="Cambria"/>
      <w:b/>
      <w:kern w:val="2"/>
      <w:sz w:val="32"/>
      <w:szCs w:val="32"/>
    </w:rPr>
  </w:style>
  <w:style w:type="character" w:customStyle="1" w:styleId="30">
    <w:name w:val="文档结构图 Char"/>
    <w:basedOn w:val="15"/>
    <w:link w:val="5"/>
    <w:qFormat/>
    <w:uiPriority w:val="0"/>
    <w:rPr>
      <w:rFonts w:hint="eastAsia" w:ascii="宋体" w:hAnsi="Calibri" w:eastAsia="宋体" w:cs="宋体"/>
      <w:kern w:val="2"/>
      <w:sz w:val="18"/>
      <w:szCs w:val="18"/>
    </w:rPr>
  </w:style>
  <w:style w:type="character" w:customStyle="1" w:styleId="31">
    <w:name w:val="页脚 Char"/>
    <w:basedOn w:val="15"/>
    <w:link w:val="9"/>
    <w:qFormat/>
    <w:uiPriority w:val="0"/>
    <w:rPr>
      <w:sz w:val="18"/>
      <w:szCs w:val="18"/>
    </w:rPr>
  </w:style>
  <w:style w:type="character" w:customStyle="1" w:styleId="32">
    <w:name w:val="页眉 Char"/>
    <w:basedOn w:val="15"/>
    <w:link w:val="10"/>
    <w:qFormat/>
    <w:uiPriority w:val="0"/>
    <w:rPr>
      <w:sz w:val="18"/>
      <w:szCs w:val="18"/>
    </w:rPr>
  </w:style>
  <w:style w:type="character" w:customStyle="1" w:styleId="33">
    <w:name w:val="页眉 Char1"/>
    <w:basedOn w:val="15"/>
    <w:link w:val="10"/>
    <w:qFormat/>
    <w:uiPriority w:val="0"/>
    <w:rPr>
      <w:rFonts w:hint="default" w:ascii="Calibri" w:hAnsi="Calibri" w:cs="Calibri"/>
      <w:kern w:val="2"/>
      <w:sz w:val="18"/>
      <w:szCs w:val="18"/>
    </w:rPr>
  </w:style>
  <w:style w:type="character" w:customStyle="1" w:styleId="34">
    <w:name w:val="正文文本 Char1"/>
    <w:basedOn w:val="15"/>
    <w:link w:val="7"/>
    <w:qFormat/>
    <w:uiPriority w:val="0"/>
    <w:rPr>
      <w:rFonts w:hint="default" w:ascii="Calibri" w:hAnsi="Calibri" w:cs="Calibri"/>
      <w:kern w:val="2"/>
      <w:sz w:val="21"/>
      <w:szCs w:val="22"/>
    </w:rPr>
  </w:style>
  <w:style w:type="character" w:customStyle="1" w:styleId="35">
    <w:name w:val="批注框文本 Char1"/>
    <w:basedOn w:val="15"/>
    <w:link w:val="8"/>
    <w:qFormat/>
    <w:uiPriority w:val="0"/>
    <w:rPr>
      <w:rFonts w:hint="default" w:ascii="Calibri" w:hAnsi="Calibri" w:cs="Calibri"/>
      <w:kern w:val="2"/>
      <w:sz w:val="18"/>
      <w:szCs w:val="18"/>
    </w:rPr>
  </w:style>
  <w:style w:type="character" w:customStyle="1" w:styleId="36">
    <w:name w:val="font81"/>
    <w:basedOn w:val="15"/>
    <w:qFormat/>
    <w:uiPriority w:val="0"/>
    <w:rPr>
      <w:rFonts w:hint="default" w:ascii="仿宋_GB2312" w:eastAsia="仿宋_GB2312" w:cs="仿宋_GB2312"/>
      <w:b/>
      <w:color w:val="000000"/>
      <w:sz w:val="18"/>
      <w:szCs w:val="18"/>
      <w:u w:val="none"/>
    </w:rPr>
  </w:style>
  <w:style w:type="character" w:customStyle="1" w:styleId="37">
    <w:name w:val="font61"/>
    <w:basedOn w:val="15"/>
    <w:qFormat/>
    <w:uiPriority w:val="0"/>
    <w:rPr>
      <w:rFonts w:hint="default" w:ascii="仿宋_GB2312" w:eastAsia="仿宋_GB2312" w:cs="仿宋_GB2312"/>
      <w:b/>
      <w:color w:val="000000"/>
      <w:sz w:val="18"/>
      <w:szCs w:val="18"/>
      <w:u w:val="none"/>
    </w:rPr>
  </w:style>
  <w:style w:type="character" w:customStyle="1" w:styleId="38">
    <w:name w:val="font111"/>
    <w:basedOn w:val="15"/>
    <w:qFormat/>
    <w:uiPriority w:val="0"/>
    <w:rPr>
      <w:rFonts w:hint="default" w:ascii="仿宋_GB2312" w:eastAsia="仿宋_GB2312" w:cs="仿宋_GB2312"/>
      <w:b/>
      <w:color w:val="000000"/>
      <w:sz w:val="18"/>
      <w:szCs w:val="18"/>
      <w:u w:val="none"/>
    </w:rPr>
  </w:style>
  <w:style w:type="character" w:customStyle="1" w:styleId="39">
    <w:name w:val="font41"/>
    <w:basedOn w:val="15"/>
    <w:qFormat/>
    <w:uiPriority w:val="0"/>
    <w:rPr>
      <w:rFonts w:hint="default" w:ascii="仿宋_GB2312" w:eastAsia="仿宋_GB2312" w:cs="仿宋_GB2312"/>
      <w:b/>
      <w:color w:val="000000"/>
      <w:sz w:val="18"/>
      <w:szCs w:val="18"/>
      <w:u w:val="none"/>
    </w:rPr>
  </w:style>
  <w:style w:type="character" w:customStyle="1" w:styleId="40">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9</TotalTime>
  <ScaleCrop>false</ScaleCrop>
  <LinksUpToDate>false</LinksUpToDate>
  <CharactersWithSpaces>32905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2020-10-19T06:59:00Z</cp:lastPrinted>
  <dcterms:modified xsi:type="dcterms:W3CDTF">2020-12-16T07:31:52Z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