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highlight w:val="none"/>
        </w:rPr>
      </w:pPr>
    </w:p>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hint="eastAsia" w:ascii="黑体" w:hAnsi="宋体" w:eastAsia="黑体"/>
          <w:b/>
          <w:color w:val="auto"/>
          <w:sz w:val="44"/>
          <w:szCs w:val="44"/>
          <w:highlight w:val="none"/>
          <w:lang w:val="en-US" w:eastAsia="zh-CN"/>
        </w:rPr>
      </w:pPr>
      <w:r>
        <w:rPr>
          <w:rFonts w:hint="eastAsia" w:ascii="黑体" w:hAnsi="宋体" w:eastAsia="黑体"/>
          <w:b/>
          <w:color w:val="auto"/>
          <w:sz w:val="44"/>
          <w:szCs w:val="44"/>
          <w:highlight w:val="none"/>
          <w:lang w:val="en-US" w:eastAsia="zh-CN"/>
        </w:rPr>
        <w:t>南充市将军路嘉陵江大桥及引桥工程（二标段）滨江北路互通及石油东西路改造工程</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钢绞线采购</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cs="宋体"/>
          <w:sz w:val="32"/>
          <w:highlight w:val="yellow"/>
          <w:u w:val="single"/>
          <w:lang w:val="en-US"/>
        </w:rPr>
      </w:pPr>
      <w:r>
        <w:rPr>
          <w:rFonts w:hint="eastAsia" w:ascii="宋体" w:hAnsi="宋体" w:cs="宋体"/>
          <w:sz w:val="28"/>
          <w:highlight w:val="none"/>
        </w:rPr>
        <w:t>招采文件编号：</w:t>
      </w:r>
      <w:r>
        <w:rPr>
          <w:rFonts w:hint="eastAsia" w:ascii="宋体" w:hAnsi="宋体" w:cs="宋体"/>
          <w:color w:val="FF0000"/>
          <w:sz w:val="28"/>
          <w:highlight w:val="none"/>
          <w:lang w:val="en-US" w:eastAsia="zh-CN"/>
        </w:rPr>
        <w:t xml:space="preserve"> </w:t>
      </w:r>
      <w:r>
        <w:rPr>
          <w:rFonts w:hint="eastAsia" w:ascii="宋体" w:hAnsi="宋体" w:cs="宋体"/>
          <w:color w:val="auto"/>
          <w:sz w:val="28"/>
          <w:highlight w:val="none"/>
          <w:u w:val="none"/>
          <w:lang w:val="en-US" w:eastAsia="zh-CN"/>
        </w:rPr>
        <w:t>2020-03-030</w:t>
      </w: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2020</w:t>
      </w:r>
      <w:r>
        <w:rPr>
          <w:rFonts w:hint="eastAsia" w:ascii="宋体" w:hAnsi="宋体" w:cs="宋体"/>
          <w:sz w:val="28"/>
          <w:szCs w:val="28"/>
          <w:highlight w:val="none"/>
        </w:rPr>
        <w:t>年</w:t>
      </w:r>
      <w:r>
        <w:rPr>
          <w:rFonts w:hint="eastAsia" w:ascii="宋体" w:hAnsi="宋体" w:cs="宋体"/>
          <w:sz w:val="28"/>
          <w:szCs w:val="28"/>
          <w:highlight w:val="none"/>
          <w:lang w:val="en-US" w:eastAsia="zh-CN"/>
        </w:rPr>
        <w:t>12</w:t>
      </w:r>
      <w:r>
        <w:rPr>
          <w:rFonts w:hint="eastAsia" w:ascii="宋体" w:hAnsi="宋体" w:cs="宋体"/>
          <w:sz w:val="28"/>
          <w:szCs w:val="28"/>
          <w:highlight w:val="none"/>
        </w:rPr>
        <w:t>月</w:t>
      </w:r>
      <w:r>
        <w:rPr>
          <w:rFonts w:hint="eastAsia" w:ascii="宋体" w:hAnsi="宋体" w:cs="宋体"/>
          <w:sz w:val="28"/>
          <w:szCs w:val="28"/>
          <w:highlight w:val="none"/>
          <w:lang w:val="en-US" w:eastAsia="zh-CN"/>
        </w:rPr>
        <w:t>16</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snapToGrid w:val="0"/>
        <w:spacing w:line="36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南充市将军路嘉陵江大桥及引桥工程（二标段）滨江北路互通及石油东西路改造工程</w:t>
      </w:r>
      <w:r>
        <w:rPr>
          <w:rFonts w:hint="eastAsia" w:ascii="宋体" w:hAnsi="宋体" w:cs="宋体"/>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：Ф15.2</w:t>
      </w:r>
      <w:r>
        <w:rPr>
          <w:rFonts w:hint="eastAsia" w:ascii="宋体" w:hAnsi="宋体" w:cs="宋体"/>
          <w:bCs/>
          <w:color w:val="000000" w:themeColor="text1"/>
          <w:sz w:val="28"/>
          <w:highlight w:val="none"/>
          <w:lang w:eastAsia="zh-CN"/>
          <w14:textFill>
            <w14:solidFill>
              <w14:schemeClr w14:val="tx1"/>
            </w14:solidFill>
          </w14:textFill>
        </w:rPr>
        <w:t>钢绞线</w:t>
      </w:r>
      <w:r>
        <w:rPr>
          <w:rFonts w:hint="eastAsia" w:ascii="宋体" w:hAnsi="宋体" w:cs="宋体"/>
          <w:bCs/>
          <w:color w:val="000000" w:themeColor="text1"/>
          <w:sz w:val="28"/>
          <w:highlight w:val="none"/>
          <w:lang w:val="en-US" w:eastAsia="zh-CN"/>
          <w14:textFill>
            <w14:solidFill>
              <w14:schemeClr w14:val="tx1"/>
            </w14:solidFill>
          </w14:textFill>
        </w:rPr>
        <w:t>410.707吨</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eastAsia="zh-CN"/>
          <w14:textFill>
            <w14:solidFill>
              <w14:schemeClr w14:val="tx1"/>
            </w14:solidFill>
          </w14:textFill>
        </w:rPr>
        <w:t>按进度分批次供货至完工</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p>
    <w:p>
      <w:pPr>
        <w:snapToGrid w:val="0"/>
        <w:ind w:firstLine="560" w:firstLineChars="2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4</w:t>
      </w: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南充市将军路嘉陵江大桥及引桥工程（二标段）滨江北路互通及石油东西路改造工程项目部</w:t>
      </w:r>
      <w:r>
        <w:rPr>
          <w:rFonts w:hint="eastAsia" w:ascii="宋体" w:hAnsi="宋体" w:cs="宋体"/>
          <w:bCs/>
          <w:color w:val="000000" w:themeColor="text1"/>
          <w:sz w:val="28"/>
          <w:highlight w:val="none"/>
          <w14:textFill>
            <w14:solidFill>
              <w14:schemeClr w14:val="tx1"/>
            </w14:solidFill>
          </w14:textFill>
        </w:rPr>
        <w:t>。</w:t>
      </w:r>
    </w:p>
    <w:p>
      <w:pPr>
        <w:snapToGrid w:val="0"/>
        <w:ind w:firstLine="560" w:firstLineChars="200"/>
        <w:rPr>
          <w:rFonts w:ascii="宋体" w:hAnsi="宋体" w:cs="宋体"/>
          <w:bCs/>
          <w:color w:val="000000" w:themeColor="text1"/>
          <w:sz w:val="28"/>
          <w:highlight w:val="none"/>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snapToGrid w:val="0"/>
        <w:spacing w:line="360" w:lineRule="auto"/>
        <w:ind w:firstLine="560" w:firstLineChars="200"/>
        <w:jc w:val="left"/>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u w:val="single"/>
          <w:lang w:val="en-US" w:eastAsia="zh-CN"/>
          <w14:textFill>
            <w14:solidFill>
              <w14:schemeClr w14:val="tx1"/>
            </w14:solidFill>
          </w14:textFill>
        </w:rPr>
        <w:t xml:space="preserve"> 2020年12月17日 </w:t>
      </w:r>
      <w:r>
        <w:rPr>
          <w:rFonts w:hint="eastAsia" w:ascii="宋体" w:hAnsi="宋体" w:cs="宋体"/>
          <w:bCs/>
          <w:color w:val="000000" w:themeColor="text1"/>
          <w:sz w:val="28"/>
          <w:highlight w:val="none"/>
          <w:lang w:val="en-US" w:eastAsia="zh-CN"/>
          <w14:textFill>
            <w14:solidFill>
              <w14:schemeClr w14:val="tx1"/>
            </w14:solidFill>
          </w14:textFill>
        </w:rPr>
        <w:t xml:space="preserve">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360" w:lineRule="auto"/>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color w:val="auto"/>
          <w:sz w:val="28"/>
          <w:highlight w:val="none"/>
          <w:u w:val="single"/>
          <w:lang w:eastAsia="zh-CN"/>
        </w:rPr>
        <w:t>2020</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12</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17</w:t>
      </w:r>
      <w:r>
        <w:rPr>
          <w:rFonts w:hint="eastAsia" w:ascii="宋体" w:hAnsi="宋体" w:eastAsia="宋体" w:cs="宋体"/>
          <w:color w:val="auto"/>
          <w:sz w:val="28"/>
          <w:highlight w:val="none"/>
          <w:u w:val="single"/>
        </w:rPr>
        <w:t>日</w:t>
      </w:r>
    </w:p>
    <w:p>
      <w:pPr>
        <w:snapToGrid w:val="0"/>
        <w:spacing w:line="360" w:lineRule="auto"/>
        <w:ind w:firstLine="2800" w:firstLineChars="1000"/>
        <w:jc w:val="left"/>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snapToGrid w:val="0"/>
        <w:spacing w:line="360" w:lineRule="auto"/>
        <w:ind w:firstLine="2800" w:firstLineChars="1000"/>
        <w:jc w:val="left"/>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202"/>
        <w:gridCol w:w="546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202"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46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themeColor="text1"/>
                <w:szCs w:val="21"/>
                <w:highlight w:val="none"/>
                <w14:textFill>
                  <w14:solidFill>
                    <w14:schemeClr w14:val="tx1"/>
                  </w14:solidFill>
                </w14:textFill>
              </w:rPr>
            </w:pPr>
          </w:p>
          <w:p>
            <w:pPr>
              <w:tabs>
                <w:tab w:val="right" w:pos="8674"/>
              </w:tabs>
              <w:snapToGrid w:val="0"/>
              <w:spacing w:line="24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南充市将军路嘉陵江大桥及引桥工程（二标段）滨江北路互通及石油东西路改造工程</w:t>
            </w:r>
          </w:p>
          <w:p>
            <w:pPr>
              <w:tabs>
                <w:tab w:val="right" w:pos="8674"/>
              </w:tabs>
              <w:snapToGrid w:val="0"/>
              <w:spacing w:line="240" w:lineRule="auto"/>
              <w:jc w:val="left"/>
              <w:rPr>
                <w:rFonts w:ascii="宋体" w:hAnsi="宋体" w:cs="宋体"/>
                <w:color w:val="000000" w:themeColor="text1"/>
                <w:szCs w:val="2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202"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46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Ф15.2</w:t>
            </w:r>
            <w:r>
              <w:rPr>
                <w:rFonts w:hint="eastAsia" w:ascii="宋体" w:hAnsi="宋体" w:cs="宋体"/>
                <w:color w:val="000000" w:themeColor="text1"/>
                <w:szCs w:val="21"/>
                <w:highlight w:val="none"/>
                <w:lang w:eastAsia="zh-CN"/>
                <w14:textFill>
                  <w14:solidFill>
                    <w14:schemeClr w14:val="tx1"/>
                  </w14:solidFill>
                </w14:textFill>
              </w:rPr>
              <w:t>钢绞线</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202"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463"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410.707</w:t>
            </w:r>
            <w:r>
              <w:rPr>
                <w:rFonts w:hint="eastAsia" w:ascii="宋体" w:hAnsi="宋体" w:cs="宋体"/>
                <w:color w:val="000000" w:themeColor="text1"/>
                <w:szCs w:val="21"/>
                <w:highlight w:val="none"/>
                <w14:textFill>
                  <w14:solidFill>
                    <w14:schemeClr w14:val="tx1"/>
                  </w14:solidFill>
                </w14:textFill>
              </w:rPr>
              <w:t>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463" w:type="dxa"/>
            <w:tcBorders>
              <w:top w:val="single" w:color="auto" w:sz="4" w:space="0"/>
              <w:left w:val="single" w:color="auto" w:sz="4" w:space="0"/>
              <w:bottom w:val="single" w:color="auto" w:sz="4" w:space="0"/>
              <w:right w:val="single" w:color="auto" w:sz="4" w:space="0"/>
            </w:tcBorders>
            <w:shd w:val="clear" w:color="auto" w:fill="auto"/>
          </w:tcPr>
          <w:p>
            <w:pPr>
              <w:numPr>
                <w:ilvl w:val="0"/>
                <w:numId w:val="1"/>
              </w:numPr>
              <w:snapToGrid w:val="0"/>
              <w:ind w:left="0" w:leftChars="0"/>
              <w:jc w:val="left"/>
              <w:rPr>
                <w:rFonts w:hint="eastAsia"/>
                <w:lang w:eastAsia="zh-CN"/>
              </w:rPr>
            </w:pPr>
            <w:r>
              <w:rPr>
                <w:rFonts w:hint="eastAsia"/>
                <w:lang w:eastAsia="zh-CN"/>
              </w:rPr>
              <w:t>供应商必须是重庆对外建设（集团）有限公司合格供方库内单位，且无失信记录。</w:t>
            </w:r>
          </w:p>
          <w:p>
            <w:pPr>
              <w:numPr>
                <w:ilvl w:val="0"/>
                <w:numId w:val="1"/>
              </w:numPr>
              <w:snapToGrid w:val="0"/>
              <w:spacing w:line="360" w:lineRule="auto"/>
              <w:ind w:left="0" w:leftChars="0" w:firstLine="0" w:firstLineChars="0"/>
              <w:jc w:val="left"/>
              <w:rPr>
                <w:b w:val="0"/>
                <w:bCs w:val="0"/>
              </w:rPr>
            </w:pPr>
            <w:r>
              <w:rPr>
                <w:rFonts w:hint="eastAsia"/>
                <w:lang w:eastAsia="zh-CN"/>
              </w:rPr>
              <w:t>营业执照经营范围包含销售钢材或金属材料相关</w:t>
            </w:r>
            <w:r>
              <w:rPr>
                <w:rFonts w:hint="eastAsia"/>
                <w:lang w:val="en-US" w:eastAsia="zh-CN"/>
              </w:rPr>
              <w:t>经营范围。</w:t>
            </w:r>
          </w:p>
          <w:p>
            <w:pPr>
              <w:numPr>
                <w:ilvl w:val="0"/>
                <w:numId w:val="0"/>
              </w:numPr>
              <w:snapToGrid w:val="0"/>
              <w:spacing w:line="360" w:lineRule="auto"/>
              <w:ind w:leftChars="0"/>
              <w:jc w:val="left"/>
              <w:rPr>
                <w:b w:val="0"/>
                <w:bCs w:val="0"/>
              </w:rPr>
            </w:pPr>
            <w:r>
              <w:rPr>
                <w:rFonts w:hint="eastAsia"/>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6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最高限价（含税）</w:t>
            </w:r>
          </w:p>
        </w:tc>
        <w:tc>
          <w:tcPr>
            <w:tcW w:w="546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“我的钢铁网”重庆市场钢绞线价格行情网价+</w:t>
            </w:r>
            <w:r>
              <w:rPr>
                <w:rFonts w:hint="eastAsia" w:ascii="宋体" w:hAnsi="宋体" w:cs="宋体"/>
                <w:color w:val="000000" w:themeColor="text1"/>
                <w:szCs w:val="21"/>
                <w:highlight w:val="none"/>
                <w:lang w:val="en-US" w:eastAsia="zh-CN"/>
                <w14:textFill>
                  <w14:solidFill>
                    <w14:schemeClr w14:val="tx1"/>
                  </w14:solidFill>
                </w14:textFill>
              </w:rPr>
              <w:t>60</w:t>
            </w:r>
            <w:r>
              <w:rPr>
                <w:rFonts w:hint="eastAsia" w:ascii="宋体" w:hAnsi="宋体" w:cs="宋体"/>
                <w:color w:val="000000" w:themeColor="text1"/>
                <w:szCs w:val="21"/>
                <w:highlight w:val="none"/>
                <w:lang w:eastAsia="zh-CN"/>
                <w14:textFill>
                  <w14:solidFill>
                    <w14:schemeClr w14:val="tx1"/>
                  </w14:solidFill>
                </w14:textFill>
              </w:rPr>
              <w:t>.00元/吨</w:t>
            </w:r>
            <w:r>
              <w:rPr>
                <w:rFonts w:hint="eastAsia" w:ascii="宋体" w:hAnsi="宋体" w:cs="宋体"/>
                <w:color w:val="000000" w:themeColor="text1"/>
                <w:szCs w:val="21"/>
                <w:highlight w:val="none"/>
                <w:lang w:val="en-US" w:eastAsia="zh-CN"/>
                <w14:textFill>
                  <w14:solidFill>
                    <w14:schemeClr w14:val="tx1"/>
                  </w14:solidFill>
                </w14:textFill>
              </w:rPr>
              <w:t>，限价含13%增值税、含材料费、运费、吊装费，本次招采限价根据成本价及市场价综合制定，以限定单价为主。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46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46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46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eastAsia="宋体" w:cs="宋体"/>
                <w:color w:val="auto"/>
                <w:sz w:val="21"/>
                <w:szCs w:val="21"/>
                <w:highlight w:val="none"/>
                <w:lang w:eastAsia="zh-CN"/>
              </w:rPr>
              <w:t>至完工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双方于</w:t>
            </w:r>
            <w:r>
              <w:rPr>
                <w:rFonts w:hint="eastAsia" w:ascii="宋体" w:hAnsi="宋体" w:cs="宋体"/>
                <w:color w:val="000000" w:themeColor="text1"/>
                <w:szCs w:val="21"/>
                <w:highlight w:val="none"/>
                <w:lang w:eastAsia="zh-CN"/>
                <w14:textFill>
                  <w14:solidFill>
                    <w14:schemeClr w14:val="tx1"/>
                  </w14:solidFill>
                </w14:textFill>
              </w:rPr>
              <w:t>每月</w:t>
            </w:r>
            <w:r>
              <w:rPr>
                <w:rFonts w:hint="eastAsia" w:ascii="宋体" w:hAnsi="宋体" w:cs="宋体"/>
                <w:color w:val="000000" w:themeColor="text1"/>
                <w:szCs w:val="21"/>
                <w:highlight w:val="none"/>
                <w:lang w:val="en-US" w:eastAsia="zh-CN"/>
                <w14:textFill>
                  <w14:solidFill>
                    <w14:schemeClr w14:val="tx1"/>
                  </w14:solidFill>
                </w14:textFill>
              </w:rPr>
              <w:t>25日就当月供货量进行对账</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次月</w:t>
            </w:r>
            <w:r>
              <w:rPr>
                <w:rFonts w:hint="eastAsia" w:ascii="宋体" w:hAnsi="宋体" w:cs="宋体"/>
                <w:color w:val="000000" w:themeColor="text1"/>
                <w:szCs w:val="21"/>
                <w:highlight w:val="none"/>
                <w:lang w:val="en-US" w:eastAsia="zh-CN"/>
                <w14:textFill>
                  <w14:solidFill>
                    <w14:schemeClr w14:val="tx1"/>
                  </w14:solidFill>
                </w14:textFill>
              </w:rPr>
              <w:t>25日前支付至上月对账金额的100%，供货完毕办理结算</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采用银行转账、银行承兑汇票或</w:t>
            </w:r>
            <w:r>
              <w:rPr>
                <w:rFonts w:hint="eastAsia" w:ascii="宋体" w:hAnsi="宋体" w:cs="宋体"/>
                <w:color w:val="000000" w:themeColor="text1"/>
                <w:szCs w:val="21"/>
                <w:highlight w:val="none"/>
                <w:lang w:val="en-US" w:eastAsia="zh-CN"/>
                <w14:textFill>
                  <w14:solidFill>
                    <w14:schemeClr w14:val="tx1"/>
                  </w14:solidFill>
                </w14:textFill>
              </w:rPr>
              <w:t>e信通</w:t>
            </w:r>
            <w:r>
              <w:rPr>
                <w:rFonts w:hint="eastAsia" w:ascii="宋体" w:hAnsi="宋体" w:cs="宋体"/>
                <w:color w:val="000000" w:themeColor="text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钢绞线</w:t>
            </w:r>
            <w:r>
              <w:rPr>
                <w:rFonts w:hint="eastAsia" w:ascii="宋体" w:hAnsi="宋体" w:cs="宋体"/>
                <w:color w:val="000000" w:themeColor="text1"/>
                <w:szCs w:val="21"/>
                <w:highlight w:val="none"/>
                <w14:textFill>
                  <w14:solidFill>
                    <w14:schemeClr w14:val="tx1"/>
                  </w14:solidFill>
                </w14:textFill>
              </w:rPr>
              <w:t>价格按到货当日的“我的钢铁网”（</w:t>
            </w:r>
            <w:r>
              <w:rPr>
                <w:rFonts w:hint="eastAsia" w:ascii="宋体" w:hAnsi="宋体" w:cs="宋体"/>
                <w:color w:val="000000" w:themeColor="text1"/>
                <w:szCs w:val="21"/>
                <w:highlight w:val="none"/>
                <w:lang w:eastAsia="zh-CN"/>
                <w14:textFill>
                  <w14:solidFill>
                    <w14:schemeClr w14:val="tx1"/>
                  </w14:solidFill>
                </w14:textFill>
              </w:rPr>
              <w:t>重庆市场钢绞线价格行情</w:t>
            </w:r>
            <w:r>
              <w:rPr>
                <w:rFonts w:hint="eastAsia" w:ascii="宋体" w:hAnsi="宋体" w:cs="宋体"/>
                <w:color w:val="000000" w:themeColor="text1"/>
                <w:szCs w:val="21"/>
                <w:highlight w:val="none"/>
                <w14:textFill>
                  <w14:solidFill>
                    <w14:schemeClr w14:val="tx1"/>
                  </w14:solidFill>
                </w14:textFill>
              </w:rPr>
              <w:t>）同规格型号第一次网价为基准。若某规格型号没有网价时按双方协商认可为准。节假日期间到货按放假前一天第一次网价为准。周末没有网价的按周五第一次网价为准。在</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人发出材料计划通知后3</w:t>
            </w:r>
            <w:r>
              <w:rPr>
                <w:rFonts w:hint="eastAsia" w:ascii="宋体" w:hAnsi="宋体" w:cs="宋体"/>
                <w:color w:val="000000" w:themeColor="text1"/>
                <w:szCs w:val="21"/>
                <w:highlight w:val="none"/>
                <w:lang w:eastAsia="zh-CN"/>
                <w14:textFill>
                  <w14:solidFill>
                    <w14:schemeClr w14:val="tx1"/>
                  </w14:solidFill>
                </w14:textFill>
              </w:rPr>
              <w:t>个工作</w:t>
            </w:r>
            <w:r>
              <w:rPr>
                <w:rFonts w:hint="eastAsia" w:ascii="宋体" w:hAnsi="宋体" w:cs="宋体"/>
                <w:color w:val="000000" w:themeColor="text1"/>
                <w:szCs w:val="21"/>
                <w:highlight w:val="none"/>
                <w14:textFill>
                  <w14:solidFill>
                    <w14:schemeClr w14:val="tx1"/>
                  </w14:solidFill>
                </w14:textFill>
              </w:rPr>
              <w:t>内</w:t>
            </w:r>
            <w:r>
              <w:rPr>
                <w:rFonts w:hint="eastAsia" w:ascii="宋体" w:hAnsi="宋体" w:cs="宋体"/>
                <w:color w:val="000000" w:themeColor="text1"/>
                <w:szCs w:val="21"/>
                <w:highlight w:val="none"/>
                <w:lang w:eastAsia="zh-CN"/>
                <w14:textFill>
                  <w14:solidFill>
                    <w14:schemeClr w14:val="tx1"/>
                  </w14:solidFill>
                </w14:textFill>
              </w:rPr>
              <w:t>中选</w:t>
            </w:r>
            <w:r>
              <w:rPr>
                <w:rFonts w:hint="eastAsia" w:ascii="宋体" w:hAnsi="宋体" w:cs="宋体"/>
                <w:color w:val="000000" w:themeColor="text1"/>
                <w:szCs w:val="21"/>
                <w:highlight w:val="none"/>
                <w14:textFill>
                  <w14:solidFill>
                    <w14:schemeClr w14:val="tx1"/>
                  </w14:solidFill>
                </w14:textFill>
              </w:rPr>
              <w:t>人需将</w:t>
            </w:r>
            <w:r>
              <w:rPr>
                <w:rFonts w:hint="eastAsia" w:ascii="宋体" w:hAnsi="宋体" w:cs="宋体"/>
                <w:color w:val="000000" w:themeColor="text1"/>
                <w:szCs w:val="21"/>
                <w:highlight w:val="none"/>
                <w:lang w:eastAsia="zh-CN"/>
                <w14:textFill>
                  <w14:solidFill>
                    <w14:schemeClr w14:val="tx1"/>
                  </w14:solidFill>
                </w14:textFill>
              </w:rPr>
              <w:t>钢绞线</w:t>
            </w:r>
            <w:r>
              <w:rPr>
                <w:rFonts w:hint="eastAsia" w:ascii="宋体" w:hAnsi="宋体" w:cs="宋体"/>
                <w:color w:val="000000" w:themeColor="text1"/>
                <w:szCs w:val="21"/>
                <w:highlight w:val="none"/>
                <w14:textFill>
                  <w14:solidFill>
                    <w14:schemeClr w14:val="tx1"/>
                  </w14:solidFill>
                </w14:textFill>
              </w:rPr>
              <w:t>送到询价人指定的工地。如3</w:t>
            </w:r>
            <w:r>
              <w:rPr>
                <w:rFonts w:hint="eastAsia" w:ascii="宋体" w:hAnsi="宋体" w:cs="宋体"/>
                <w:color w:val="000000" w:themeColor="text1"/>
                <w:szCs w:val="21"/>
                <w:highlight w:val="none"/>
                <w:lang w:eastAsia="zh-CN"/>
                <w14:textFill>
                  <w14:solidFill>
                    <w14:schemeClr w14:val="tx1"/>
                  </w14:solidFill>
                </w14:textFill>
              </w:rPr>
              <w:t>个工作</w:t>
            </w:r>
            <w:r>
              <w:rPr>
                <w:rFonts w:hint="eastAsia" w:ascii="宋体" w:hAnsi="宋体" w:cs="宋体"/>
                <w:color w:val="000000" w:themeColor="text1"/>
                <w:szCs w:val="21"/>
                <w:highlight w:val="none"/>
                <w14:textFill>
                  <w14:solidFill>
                    <w14:schemeClr w14:val="tx1"/>
                  </w14:solidFill>
                </w14:textFill>
              </w:rPr>
              <w:t>日内未到货，该批</w:t>
            </w:r>
            <w:r>
              <w:rPr>
                <w:rFonts w:hint="eastAsia" w:ascii="宋体" w:hAnsi="宋体" w:cs="宋体"/>
                <w:color w:val="000000" w:themeColor="text1"/>
                <w:szCs w:val="21"/>
                <w:highlight w:val="none"/>
                <w:lang w:eastAsia="zh-CN"/>
                <w14:textFill>
                  <w14:solidFill>
                    <w14:schemeClr w14:val="tx1"/>
                  </w14:solidFill>
                </w14:textFill>
              </w:rPr>
              <w:t>钢绞线</w:t>
            </w:r>
            <w:r>
              <w:rPr>
                <w:rFonts w:hint="eastAsia" w:ascii="宋体" w:hAnsi="宋体" w:cs="宋体"/>
                <w:color w:val="000000" w:themeColor="text1"/>
                <w:szCs w:val="21"/>
                <w:highlight w:val="none"/>
                <w14:textFill>
                  <w14:solidFill>
                    <w14:schemeClr w14:val="tx1"/>
                  </w14:solidFill>
                </w14:textFill>
              </w:rPr>
              <w:t>价格则按</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人材料计划通知后至到场之日内“我的钢铁网”（</w:t>
            </w:r>
            <w:r>
              <w:rPr>
                <w:rFonts w:hint="eastAsia" w:ascii="宋体" w:hAnsi="宋体" w:cs="宋体"/>
                <w:color w:val="000000" w:themeColor="text1"/>
                <w:szCs w:val="21"/>
                <w:highlight w:val="none"/>
                <w:lang w:eastAsia="zh-CN"/>
                <w14:textFill>
                  <w14:solidFill>
                    <w14:schemeClr w14:val="tx1"/>
                  </w14:solidFill>
                </w14:textFill>
              </w:rPr>
              <w:t>重庆市场钢绞线价格行情</w:t>
            </w:r>
            <w:r>
              <w:rPr>
                <w:rFonts w:hint="eastAsia" w:ascii="宋体" w:hAnsi="宋体" w:cs="宋体"/>
                <w:color w:val="000000" w:themeColor="text1"/>
                <w:szCs w:val="21"/>
                <w:highlight w:val="none"/>
                <w14:textFill>
                  <w14:solidFill>
                    <w14:schemeClr w14:val="tx1"/>
                  </w14:solidFill>
                </w14:textFill>
              </w:rPr>
              <w:t>）同规格型号最低价格为基准计价。超过6</w:t>
            </w:r>
            <w:r>
              <w:rPr>
                <w:rFonts w:hint="eastAsia" w:ascii="宋体" w:hAnsi="宋体" w:cs="宋体"/>
                <w:color w:val="000000" w:themeColor="text1"/>
                <w:szCs w:val="21"/>
                <w:highlight w:val="none"/>
                <w:lang w:eastAsia="zh-CN"/>
                <w14:textFill>
                  <w14:solidFill>
                    <w14:schemeClr w14:val="tx1"/>
                  </w14:solidFill>
                </w14:textFill>
              </w:rPr>
              <w:t>个工作日内</w:t>
            </w:r>
            <w:r>
              <w:rPr>
                <w:rFonts w:hint="eastAsia" w:ascii="宋体" w:hAnsi="宋体" w:cs="宋体"/>
                <w:color w:val="000000" w:themeColor="text1"/>
                <w:szCs w:val="21"/>
                <w:highlight w:val="none"/>
                <w14:textFill>
                  <w14:solidFill>
                    <w14:schemeClr w14:val="tx1"/>
                  </w14:solidFill>
                </w14:textFill>
              </w:rPr>
              <w:t>未到货视为不能交货，</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人此时有权在其他供应商处调货，同时</w:t>
            </w:r>
            <w:r>
              <w:rPr>
                <w:rFonts w:hint="eastAsia" w:ascii="宋体" w:hAnsi="宋体" w:cs="宋体"/>
                <w:color w:val="000000" w:themeColor="text1"/>
                <w:szCs w:val="21"/>
                <w:highlight w:val="none"/>
                <w:lang w:eastAsia="zh-CN"/>
                <w14:textFill>
                  <w14:solidFill>
                    <w14:schemeClr w14:val="tx1"/>
                  </w14:solidFill>
                </w14:textFill>
              </w:rPr>
              <w:t>中选</w:t>
            </w:r>
            <w:r>
              <w:rPr>
                <w:rFonts w:hint="eastAsia" w:ascii="宋体" w:hAnsi="宋体" w:cs="宋体"/>
                <w:color w:val="000000" w:themeColor="text1"/>
                <w:szCs w:val="21"/>
                <w:highlight w:val="none"/>
                <w14:textFill>
                  <w14:solidFill>
                    <w14:schemeClr w14:val="tx1"/>
                  </w14:solidFill>
                </w14:textFill>
              </w:rPr>
              <w:t>人应向</w:t>
            </w:r>
            <w:r>
              <w:rPr>
                <w:rFonts w:hint="eastAsia" w:ascii="宋体" w:hAnsi="宋体" w:cs="宋体"/>
                <w:color w:val="000000" w:themeColor="text1"/>
                <w:szCs w:val="21"/>
                <w:highlight w:val="none"/>
                <w:lang w:eastAsia="zh-CN"/>
                <w14:textFill>
                  <w14:solidFill>
                    <w14:schemeClr w14:val="tx1"/>
                  </w14:solidFill>
                </w14:textFill>
              </w:rPr>
              <w:t>招采</w:t>
            </w:r>
            <w:r>
              <w:rPr>
                <w:rFonts w:hint="eastAsia" w:ascii="宋体" w:hAnsi="宋体" w:cs="宋体"/>
                <w:color w:val="000000" w:themeColor="text1"/>
                <w:szCs w:val="21"/>
                <w:highlight w:val="none"/>
                <w14:textFill>
                  <w14:solidFill>
                    <w14:schemeClr w14:val="tx1"/>
                  </w14:solidFill>
                </w14:textFill>
              </w:rPr>
              <w:t>人偿付不能交货部分货款的</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%的违约金。</w:t>
            </w:r>
            <w:r>
              <w:rPr>
                <w:rFonts w:hint="eastAsia" w:ascii="宋体" w:hAnsi="宋体" w:cs="宋体"/>
                <w:color w:val="000000" w:themeColor="text1"/>
                <w:szCs w:val="21"/>
                <w:highlight w:val="none"/>
                <w:lang w:eastAsia="zh-CN"/>
                <w14:textFill>
                  <w14:solidFill>
                    <w14:schemeClr w14:val="tx1"/>
                  </w14:solidFill>
                </w14:textFill>
              </w:rPr>
              <w:t>交货量以施工现场实际到场验收合格数量过磅计量，若双方对过磅重量产生争议，双方将该批钢绞线送至双方认可的第三方复磅。若磅差在千分之三以内，则以中选人送货单上重量为准，复磅产生的费用由招采人承担；若磅差超过千分之三，则以第三方复磅的重量为准，复磅产生的费用由中选人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eastAsia="宋体" w:cs="宋体"/>
                <w:color w:val="auto"/>
                <w:sz w:val="21"/>
                <w:szCs w:val="21"/>
                <w:highlight w:val="none"/>
                <w:lang w:val="en-US" w:eastAsia="zh-CN"/>
              </w:rPr>
              <w:t>王强13896170468</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2020</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17</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2020</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12</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18</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eastAsia="zh-CN"/>
              </w:rPr>
              <w:t>2020</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eastAsia="zh-CN"/>
              </w:rPr>
              <w:t>2020</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21</w:t>
            </w:r>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2020</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21</w:t>
            </w:r>
            <w:bookmarkStart w:id="40" w:name="_GoBack"/>
            <w:bookmarkEnd w:id="40"/>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20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46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bidi w:val="0"/>
      </w:pPr>
      <w:r>
        <w:rPr>
          <w:rFonts w:hint="eastAsia"/>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color w:val="000000" w:themeColor="text1"/>
                <w:highlight w:val="none"/>
                <w:u w:val="single"/>
                <w:lang w:val="en-US" w:eastAsia="zh-CN"/>
                <w14:textFill>
                  <w14:solidFill>
                    <w14:schemeClr w14:val="tx1"/>
                  </w14:solidFill>
                </w14:textFill>
              </w:rPr>
              <w:t xml:space="preserve">包含销售钢材或金属材料相关经营范围 </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、总工办、财务部、风控部、法律事务部、分公司（项目部）的相关人员参与组成，成员人数为五人及以上单数。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23257"/>
      <w:bookmarkEnd w:id="5"/>
      <w:bookmarkStart w:id="6" w:name="_Hlt42935964"/>
      <w:bookmarkEnd w:id="6"/>
      <w:bookmarkStart w:id="7" w:name="_Toc500861026"/>
      <w:bookmarkStart w:id="8" w:name="_Toc480021081"/>
      <w:bookmarkStart w:id="9" w:name="_Toc467987851"/>
      <w:bookmarkStart w:id="10" w:name="_Toc454701405"/>
      <w:bookmarkStart w:id="11" w:name="_Toc468606057"/>
      <w:bookmarkStart w:id="12" w:name="_Toc480020285"/>
      <w:bookmarkStart w:id="13" w:name="_Toc6727971"/>
      <w:bookmarkStart w:id="14" w:name="_Toc491658679"/>
      <w:bookmarkStart w:id="15" w:name="_Toc90779595"/>
      <w:bookmarkStart w:id="16" w:name="_Toc479991610"/>
      <w:bookmarkStart w:id="17" w:name="_Toc467236768"/>
      <w:bookmarkStart w:id="18" w:name="_Toc458262638"/>
      <w:bookmarkStart w:id="19" w:name="_Toc123786880"/>
      <w:bookmarkStart w:id="20" w:name="_Toc65998015"/>
      <w:bookmarkStart w:id="21" w:name="_Toc468157564"/>
      <w:bookmarkStart w:id="22" w:name="_Toc6397150"/>
      <w:bookmarkStart w:id="23" w:name="_Toc480010736"/>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50864444"/>
      <w:bookmarkStart w:id="25" w:name="_Toc123786890"/>
      <w:bookmarkStart w:id="26" w:name="_Toc35342046"/>
      <w:bookmarkStart w:id="27" w:name="_Toc91392962"/>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bookmarkEnd w:id="24"/>
    <w:bookmarkEnd w:id="25"/>
    <w:bookmarkEnd w:id="26"/>
    <w:bookmarkEnd w:id="27"/>
    <w:p>
      <w:pPr>
        <w:adjustRightInd w:val="0"/>
        <w:snapToGrid w:val="0"/>
        <w:spacing w:before="100" w:beforeAutospacing="1" w:after="100" w:afterAutospacing="1" w:line="540" w:lineRule="exact"/>
        <w:jc w:val="center"/>
        <w:rPr>
          <w:rFonts w:ascii="黑体" w:hAnsi="黑体" w:eastAsia="黑体"/>
          <w:sz w:val="36"/>
          <w:szCs w:val="28"/>
        </w:rPr>
      </w:pPr>
      <w:r>
        <w:rPr>
          <w:rFonts w:hint="eastAsia" w:ascii="黑体" w:hAnsi="黑体" w:eastAsia="黑体"/>
          <w:sz w:val="36"/>
          <w:szCs w:val="28"/>
        </w:rPr>
        <w:t>重庆对外建设（集团）有限公司</w:t>
      </w:r>
    </w:p>
    <w:p>
      <w:pPr>
        <w:adjustRightInd w:val="0"/>
        <w:snapToGrid w:val="0"/>
        <w:spacing w:before="100" w:beforeAutospacing="1" w:after="100" w:afterAutospacing="1" w:line="540" w:lineRule="exact"/>
        <w:jc w:val="center"/>
        <w:rPr>
          <w:rFonts w:hint="eastAsia" w:ascii="黑体" w:hAnsi="黑体" w:eastAsia="黑体"/>
          <w:sz w:val="36"/>
          <w:szCs w:val="28"/>
        </w:rPr>
      </w:pPr>
      <w:r>
        <w:rPr>
          <w:rFonts w:hint="eastAsia" w:ascii="黑体" w:hAnsi="黑体" w:eastAsia="黑体"/>
          <w:sz w:val="36"/>
          <w:szCs w:val="28"/>
          <w:u w:val="single"/>
          <w:lang w:val="en-US" w:eastAsia="zh-CN"/>
        </w:rPr>
        <w:t xml:space="preserve">          </w:t>
      </w:r>
      <w:r>
        <w:rPr>
          <w:rFonts w:hint="eastAsia" w:ascii="黑体" w:hAnsi="黑体" w:eastAsia="黑体"/>
          <w:sz w:val="36"/>
          <w:szCs w:val="28"/>
        </w:rPr>
        <w:t>采购合同</w:t>
      </w:r>
    </w:p>
    <w:p>
      <w:pPr>
        <w:adjustRightInd w:val="0"/>
        <w:snapToGrid w:val="0"/>
        <w:spacing w:before="100" w:beforeAutospacing="1" w:after="100" w:afterAutospacing="1" w:line="540" w:lineRule="exact"/>
        <w:jc w:val="left"/>
        <w:rPr>
          <w:rFonts w:hint="eastAsia" w:ascii="黑体" w:hAnsi="黑体" w:eastAsia="黑体"/>
          <w:sz w:val="36"/>
          <w:szCs w:val="28"/>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甲方合同编号：</w:t>
      </w:r>
      <w:r>
        <w:rPr>
          <w:rFonts w:ascii="仿宋" w:hAnsi="仿宋" w:eastAsia="仿宋"/>
          <w:szCs w:val="28"/>
          <w:u w:val="single"/>
        </w:rPr>
        <w:t xml:space="preserve"> </w:t>
      </w:r>
      <w:r>
        <w:rPr>
          <w:rFonts w:hint="eastAsia" w:ascii="仿宋" w:hAnsi="仿宋" w:eastAsia="仿宋"/>
          <w:szCs w:val="28"/>
          <w:u w:val="single"/>
          <w:lang w:val="en-US" w:eastAsia="zh-CN"/>
        </w:rPr>
        <w:t xml:space="preserve">   </w:t>
      </w:r>
      <w:r>
        <w:rPr>
          <w:rFonts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乙方合同编号：</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r>
        <w:rPr>
          <w:rFonts w:hint="eastAsia" w:ascii="仿宋" w:hAnsi="仿宋" w:eastAsia="仿宋"/>
          <w:szCs w:val="28"/>
        </w:rPr>
        <w:t>采购类别：</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r>
        <w:rPr>
          <w:rFonts w:ascii="仿宋" w:hAnsi="仿宋" w:eastAsia="仿宋"/>
          <w:szCs w:val="28"/>
          <w:u w:val="single"/>
        </w:rPr>
        <w:t xml:space="preserve">  </w:t>
      </w:r>
      <w:r>
        <w:rPr>
          <w:rFonts w:hint="eastAsia" w:ascii="仿宋" w:hAnsi="仿宋" w:eastAsia="仿宋"/>
          <w:szCs w:val="28"/>
          <w:u w:val="single"/>
        </w:rPr>
        <w:t xml:space="preserve"> </w:t>
      </w:r>
    </w:p>
    <w:p>
      <w:pPr>
        <w:adjustRightInd w:val="0"/>
        <w:snapToGrid w:val="0"/>
        <w:spacing w:line="380" w:lineRule="exact"/>
        <w:ind w:left="5670" w:leftChars="2700"/>
        <w:rPr>
          <w:rFonts w:ascii="仿宋" w:hAnsi="仿宋" w:eastAsia="仿宋"/>
          <w:szCs w:val="28"/>
          <w:u w:val="single"/>
        </w:rPr>
      </w:pPr>
    </w:p>
    <w:p>
      <w:pPr>
        <w:adjustRightInd w:val="0"/>
        <w:snapToGrid w:val="0"/>
        <w:spacing w:before="100" w:beforeAutospacing="1" w:after="100" w:afterAutospacing="1" w:line="540" w:lineRule="exact"/>
        <w:rPr>
          <w:rFonts w:hint="default" w:ascii="仿宋" w:hAnsi="仿宋" w:eastAsia="仿宋"/>
          <w:b/>
          <w:sz w:val="28"/>
          <w:szCs w:val="28"/>
          <w:u w:val="single"/>
          <w:lang w:val="en-US" w:eastAsia="zh-CN"/>
        </w:rPr>
      </w:pPr>
      <w:r>
        <w:rPr>
          <w:rFonts w:hint="eastAsia" w:ascii="仿宋" w:hAnsi="仿宋" w:eastAsia="仿宋"/>
          <w:b/>
          <w:sz w:val="28"/>
          <w:szCs w:val="28"/>
        </w:rPr>
        <w:t>甲方：</w:t>
      </w:r>
      <w:r>
        <w:rPr>
          <w:rFonts w:hint="eastAsia" w:ascii="仿宋" w:hAnsi="仿宋" w:eastAsia="仿宋"/>
          <w:b/>
          <w:sz w:val="28"/>
          <w:szCs w:val="28"/>
          <w:u w:val="single"/>
          <w:lang w:val="en-US" w:eastAsia="zh-CN"/>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通信地址：</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联系电话：</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乙方：</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通信地址：</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联系人：</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联系电话：</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rPr>
          <w:rFonts w:ascii="仿宋" w:hAnsi="仿宋" w:eastAsia="仿宋"/>
          <w:b/>
          <w:sz w:val="28"/>
          <w:szCs w:val="28"/>
        </w:rPr>
      </w:pPr>
      <w:r>
        <w:rPr>
          <w:rFonts w:hint="eastAsia" w:ascii="仿宋" w:hAnsi="仿宋" w:eastAsia="仿宋"/>
          <w:b/>
          <w:sz w:val="28"/>
          <w:szCs w:val="28"/>
        </w:rPr>
        <w:t>电子邮箱：</w:t>
      </w:r>
      <w:r>
        <w:rPr>
          <w:rFonts w:ascii="仿宋" w:hAnsi="仿宋" w:eastAsia="仿宋"/>
          <w:b/>
          <w:sz w:val="28"/>
          <w:szCs w:val="28"/>
          <w:u w:val="single"/>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cs="Times New Roman"/>
          <w:kern w:val="0"/>
          <w:sz w:val="28"/>
          <w:szCs w:val="28"/>
        </w:rPr>
      </w:pPr>
      <w:r>
        <w:rPr>
          <w:rFonts w:hint="eastAsia" w:ascii="仿宋" w:hAnsi="仿宋" w:eastAsia="仿宋"/>
          <w:b/>
          <w:sz w:val="28"/>
          <w:szCs w:val="28"/>
        </w:rPr>
        <w:t xml:space="preserve"> </w:t>
      </w:r>
      <w:r>
        <w:rPr>
          <w:rFonts w:ascii="仿宋" w:hAnsi="仿宋" w:eastAsia="仿宋"/>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w:t>
      </w:r>
      <w:r>
        <w:rPr>
          <w:rFonts w:hint="eastAsia" w:ascii="Times New Roman" w:hAnsi="Times New Roman" w:eastAsia="仿宋" w:cs="Times New Roman"/>
          <w:kern w:val="0"/>
          <w:sz w:val="28"/>
          <w:szCs w:val="28"/>
        </w:rPr>
        <w:t>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hint="default" w:ascii="Times New Roman" w:hAnsi="Times New Roman" w:eastAsia="仿宋" w:cs="Times New Roman"/>
          <w:kern w:val="0"/>
          <w:sz w:val="28"/>
          <w:szCs w:val="28"/>
          <w:u w:val="single"/>
          <w:lang w:val="en-US" w:eastAsia="zh-CN"/>
        </w:rPr>
      </w:pPr>
      <w:r>
        <w:rPr>
          <w:rFonts w:hint="eastAsia" w:ascii="Times New Roman" w:hAnsi="Times New Roman" w:eastAsia="仿宋" w:cs="Times New Roman"/>
          <w:kern w:val="0"/>
          <w:sz w:val="28"/>
          <w:szCs w:val="28"/>
        </w:rPr>
        <w:t>1.2其他：</w:t>
      </w:r>
      <w:r>
        <w:rPr>
          <w:rFonts w:hint="eastAsia" w:ascii="Times New Roman" w:hAnsi="Times New Roman" w:eastAsia="仿宋" w:cs="Times New Roman"/>
          <w:kern w:val="0"/>
          <w:sz w:val="28"/>
          <w:szCs w:val="28"/>
          <w:u w:val="single"/>
          <w:lang w:val="en-US" w:eastAsia="zh-CN"/>
        </w:rPr>
        <w:t xml:space="preserve">                                 </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lang w:val="en-US" w:eastAsia="zh-CN"/>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hint="eastAsia" w:ascii="Times New Roman" w:hAnsi="Times New Roman" w:eastAsia="仿宋" w:cs="Times New Roman"/>
          <w:kern w:val="0"/>
          <w:sz w:val="28"/>
          <w:szCs w:val="28"/>
          <w:u w:val="single"/>
          <w:lang w:val="en-US" w:eastAsia="zh-CN"/>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tabs>
          <w:tab w:val="left" w:pos="1380"/>
        </w:tabs>
        <w:adjustRightInd w:val="0"/>
        <w:snapToGrid w:val="0"/>
        <w:spacing w:before="100" w:beforeAutospacing="1" w:after="100" w:afterAutospacing="1" w:line="540" w:lineRule="exact"/>
        <w:ind w:left="540"/>
        <w:jc w:val="left"/>
        <w:rPr>
          <w:rFonts w:hint="eastAsia" w:ascii="仿宋" w:hAnsi="仿宋" w:eastAsia="仿宋"/>
          <w:kern w:val="0"/>
          <w:sz w:val="28"/>
          <w:szCs w:val="28"/>
        </w:rPr>
      </w:pPr>
      <w:r>
        <w:rPr>
          <w:rFonts w:hint="eastAsia" w:ascii="仿宋" w:hAnsi="仿宋" w:eastAsia="仿宋"/>
          <w:kern w:val="0"/>
          <w:sz w:val="28"/>
          <w:szCs w:val="28"/>
          <w:lang w:val="en-US" w:eastAsia="zh-CN"/>
        </w:rPr>
        <w:t>5.1.1</w:t>
      </w:r>
      <w:r>
        <w:rPr>
          <w:rFonts w:hint="eastAsia" w:ascii="仿宋" w:hAnsi="仿宋" w:eastAsia="仿宋" w:cs="仿宋"/>
          <w:kern w:val="0"/>
          <w:sz w:val="28"/>
          <w:szCs w:val="28"/>
        </w:rPr>
        <w:t>经双方确认后的产品税前单价固定不变</w:t>
      </w:r>
      <w:r>
        <w:rPr>
          <w:rFonts w:hint="eastAsia" w:ascii="仿宋" w:hAnsi="仿宋" w:eastAsia="仿宋"/>
          <w:kern w:val="0"/>
          <w:sz w:val="28"/>
          <w:szCs w:val="28"/>
        </w:rPr>
        <w:t>。</w:t>
      </w:r>
    </w:p>
    <w:p>
      <w:pPr>
        <w:pStyle w:val="2"/>
        <w:ind w:firstLine="560" w:firstLineChars="200"/>
        <w:jc w:val="left"/>
        <w:rPr>
          <w:rFonts w:hint="default"/>
          <w:lang w:val="en-US" w:eastAsia="zh-CN"/>
        </w:rPr>
      </w:pPr>
      <w:r>
        <w:rPr>
          <w:rFonts w:hint="eastAsia" w:ascii="仿宋" w:hAnsi="仿宋" w:eastAsia="仿宋" w:cs="Times New Roman"/>
          <w:b w:val="0"/>
          <w:bCs w:val="0"/>
          <w:kern w:val="0"/>
          <w:sz w:val="28"/>
          <w:szCs w:val="28"/>
          <w:lang w:val="en-US" w:eastAsia="zh-CN" w:bidi="ar-SA"/>
        </w:rPr>
        <w:t>5.1.2</w:t>
      </w:r>
      <w:r>
        <w:rPr>
          <w:rFonts w:hint="eastAsia" w:ascii="仿宋" w:hAnsi="仿宋" w:eastAsia="仿宋" w:cs="仿宋"/>
          <w:b w:val="0"/>
          <w:bCs w:val="0"/>
          <w:kern w:val="0"/>
          <w:sz w:val="28"/>
          <w:szCs w:val="28"/>
          <w:lang w:val="en-US" w:eastAsia="zh-CN" w:bidi="ar-SA"/>
        </w:rPr>
        <w:t>产品货款的结算：</w:t>
      </w:r>
      <w:r>
        <w:rPr>
          <w:rFonts w:hint="eastAsia" w:ascii="仿宋" w:hAnsi="仿宋" w:eastAsia="仿宋" w:cs="仿宋"/>
          <w:b w:val="0"/>
          <w:bCs w:val="0"/>
          <w:kern w:val="0"/>
          <w:sz w:val="28"/>
          <w:szCs w:val="28"/>
          <w:u w:val="single"/>
          <w:lang w:val="en-US" w:eastAsia="zh-CN" w:bidi="ar-SA"/>
        </w:rPr>
        <w:t xml:space="preserve">                                  </w:t>
      </w:r>
      <w:r>
        <w:rPr>
          <w:rFonts w:hint="eastAsia" w:ascii="仿宋" w:hAnsi="仿宋" w:eastAsia="仿宋" w:cs="仿宋"/>
          <w:b w:val="0"/>
          <w:bCs w:val="0"/>
          <w:kern w:val="0"/>
          <w:sz w:val="28"/>
          <w:szCs w:val="28"/>
          <w:u w:val="none"/>
          <w:lang w:val="en-US" w:eastAsia="zh-CN" w:bidi="ar-SA"/>
        </w:rPr>
        <w:t>。</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r>
        <w:rPr>
          <w:rFonts w:hint="eastAsia" w:ascii="仿宋" w:hAnsi="仿宋" w:eastAsia="仿宋"/>
          <w:kern w:val="0"/>
          <w:sz w:val="28"/>
          <w:szCs w:val="28"/>
          <w:lang w:val="en-US" w:eastAsia="zh-CN"/>
        </w:rPr>
        <w:t>5.1.3</w:t>
      </w:r>
      <w:r>
        <w:rPr>
          <w:rFonts w:hint="eastAsia" w:ascii="仿宋" w:hAnsi="仿宋" w:eastAsia="仿宋" w:cs="仿宋"/>
          <w:kern w:val="0"/>
          <w:sz w:val="28"/>
          <w:szCs w:val="28"/>
        </w:rPr>
        <w:t>支付方式：</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w:t>
      </w:r>
      <w:r>
        <w:rPr>
          <w:rFonts w:hint="eastAsia" w:ascii="Times New Roman" w:hAnsi="Times New Roman" w:eastAsia="仿宋" w:cs="Times New Roman"/>
          <w:kern w:val="0"/>
          <w:sz w:val="28"/>
          <w:szCs w:val="28"/>
          <w:lang w:eastAsia="zh-CN"/>
        </w:rPr>
        <w:t>对账</w:t>
      </w:r>
      <w:r>
        <w:rPr>
          <w:rFonts w:hint="eastAsia" w:ascii="Times New Roman" w:hAnsi="Times New Roman" w:eastAsia="仿宋" w:cs="Times New Roman"/>
          <w:kern w:val="0"/>
          <w:sz w:val="28"/>
          <w:szCs w:val="28"/>
        </w:rPr>
        <w:t>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w:t>
      </w:r>
      <w:r>
        <w:rPr>
          <w:rFonts w:hint="eastAsia" w:ascii="Times New Roman" w:hAnsi="Times New Roman" w:eastAsia="仿宋" w:cs="Times New Roman"/>
          <w:kern w:val="0"/>
          <w:sz w:val="28"/>
          <w:szCs w:val="28"/>
          <w:lang w:eastAsia="zh-CN"/>
        </w:rPr>
        <w:t>发票的开票人、复核人、收款人均要填写真实姓名，</w:t>
      </w:r>
      <w:r>
        <w:rPr>
          <w:rFonts w:hint="eastAsia" w:ascii="Times New Roman" w:hAnsi="Times New Roman" w:eastAsia="仿宋" w:cs="Times New Roman"/>
          <w:kern w:val="0"/>
          <w:sz w:val="28"/>
          <w:szCs w:val="28"/>
        </w:rPr>
        <w:t>发票不满足要求的，甲方有权拒绝付款。</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w:t>
      </w:r>
      <w:r>
        <w:rPr>
          <w:rFonts w:hint="eastAsia" w:ascii="Times New Roman" w:hAnsi="Times New Roman" w:eastAsia="仿宋" w:cs="Times New Roman"/>
          <w:kern w:val="0"/>
          <w:sz w:val="28"/>
          <w:szCs w:val="28"/>
          <w:highlight w:val="none"/>
        </w:rPr>
        <w:t>收由甲方项目收料员（</w:t>
      </w:r>
      <w:r>
        <w:rPr>
          <w:rFonts w:hint="eastAsia" w:ascii="Times New Roman" w:hAnsi="Times New Roman" w:eastAsia="仿宋" w:cs="Times New Roman"/>
          <w:kern w:val="0"/>
          <w:sz w:val="28"/>
          <w:szCs w:val="28"/>
          <w:highlight w:val="none"/>
          <w:u w:val="single"/>
          <w:lang w:eastAsia="zh-CN"/>
        </w:rPr>
        <w:t>姓名</w:t>
      </w:r>
      <w:r>
        <w:rPr>
          <w:rFonts w:hint="eastAsia" w:ascii="Times New Roman" w:hAnsi="Times New Roman" w:eastAsia="仿宋" w:cs="Times New Roman"/>
          <w:kern w:val="0"/>
          <w:sz w:val="28"/>
          <w:szCs w:val="28"/>
          <w:highlight w:val="none"/>
          <w:u w:val="single"/>
        </w:rPr>
        <w:t>：</w:t>
      </w:r>
      <w:r>
        <w:rPr>
          <w:rFonts w:hint="eastAsia" w:ascii="Times New Roman" w:hAnsi="Times New Roman" w:eastAsia="仿宋" w:cs="Times New Roman"/>
          <w:kern w:val="0"/>
          <w:sz w:val="28"/>
          <w:szCs w:val="28"/>
          <w:highlight w:val="none"/>
          <w:u w:val="single"/>
          <w:lang w:val="en-US" w:eastAsia="zh-CN"/>
        </w:rPr>
        <w:t xml:space="preserve">   </w:t>
      </w:r>
      <w:r>
        <w:rPr>
          <w:rFonts w:hint="eastAsia" w:ascii="Times New Roman" w:hAnsi="Times New Roman" w:eastAsia="仿宋" w:cs="Times New Roman"/>
          <w:kern w:val="0"/>
          <w:sz w:val="28"/>
          <w:szCs w:val="28"/>
          <w:highlight w:val="none"/>
          <w:u w:val="single"/>
          <w:lang w:eastAsia="zh-CN"/>
        </w:rPr>
        <w:t>电话：</w:t>
      </w:r>
      <w:r>
        <w:rPr>
          <w:rFonts w:hint="eastAsia" w:ascii="Times New Roman" w:hAnsi="Times New Roman" w:eastAsia="仿宋" w:cs="Times New Roman"/>
          <w:kern w:val="0"/>
          <w:sz w:val="28"/>
          <w:szCs w:val="28"/>
          <w:highlight w:val="none"/>
          <w:u w:val="single"/>
          <w:lang w:val="en-US" w:eastAsia="zh-CN"/>
        </w:rPr>
        <w:t xml:space="preserve">    </w:t>
      </w:r>
      <w:r>
        <w:rPr>
          <w:rFonts w:hint="eastAsia" w:ascii="Times New Roman" w:hAnsi="Times New Roman" w:eastAsia="仿宋" w:cs="Times New Roman"/>
          <w:kern w:val="0"/>
          <w:sz w:val="28"/>
          <w:szCs w:val="28"/>
          <w:highlight w:val="none"/>
        </w:rPr>
        <w:t>）及施工员（</w:t>
      </w:r>
      <w:r>
        <w:rPr>
          <w:rFonts w:hint="eastAsia" w:ascii="Times New Roman" w:hAnsi="Times New Roman" w:eastAsia="仿宋" w:cs="Times New Roman"/>
          <w:kern w:val="0"/>
          <w:sz w:val="28"/>
          <w:szCs w:val="28"/>
          <w:highlight w:val="none"/>
          <w:u w:val="single"/>
          <w:lang w:eastAsia="zh-CN"/>
        </w:rPr>
        <w:t>姓名</w:t>
      </w:r>
      <w:r>
        <w:rPr>
          <w:rFonts w:hint="eastAsia" w:ascii="Times New Roman" w:hAnsi="Times New Roman" w:eastAsia="仿宋" w:cs="Times New Roman"/>
          <w:kern w:val="0"/>
          <w:sz w:val="28"/>
          <w:szCs w:val="28"/>
          <w:highlight w:val="none"/>
          <w:u w:val="single"/>
        </w:rPr>
        <w:t>：</w:t>
      </w:r>
      <w:r>
        <w:rPr>
          <w:rFonts w:hint="eastAsia" w:ascii="Times New Roman" w:hAnsi="Times New Roman" w:eastAsia="仿宋" w:cs="Times New Roman"/>
          <w:kern w:val="0"/>
          <w:sz w:val="28"/>
          <w:szCs w:val="28"/>
          <w:highlight w:val="none"/>
          <w:u w:val="single"/>
          <w:lang w:val="en-US" w:eastAsia="zh-CN"/>
        </w:rPr>
        <w:t xml:space="preserve">    </w:t>
      </w:r>
      <w:r>
        <w:rPr>
          <w:rFonts w:hint="eastAsia" w:ascii="Times New Roman" w:hAnsi="Times New Roman" w:eastAsia="仿宋" w:cs="Times New Roman"/>
          <w:kern w:val="0"/>
          <w:sz w:val="28"/>
          <w:szCs w:val="28"/>
          <w:highlight w:val="none"/>
          <w:u w:val="single"/>
          <w:lang w:eastAsia="zh-CN"/>
        </w:rPr>
        <w:t>电话：</w:t>
      </w:r>
      <w:r>
        <w:rPr>
          <w:rFonts w:hint="eastAsia" w:ascii="Times New Roman" w:hAnsi="Times New Roman" w:eastAsia="仿宋" w:cs="Times New Roman"/>
          <w:kern w:val="0"/>
          <w:sz w:val="28"/>
          <w:szCs w:val="28"/>
          <w:highlight w:val="none"/>
          <w:u w:val="single"/>
          <w:lang w:val="en-US" w:eastAsia="zh-CN"/>
        </w:rPr>
        <w:t xml:space="preserve">    </w:t>
      </w:r>
      <w:r>
        <w:rPr>
          <w:rFonts w:hint="eastAsia" w:ascii="Times New Roman" w:hAnsi="Times New Roman" w:eastAsia="仿宋" w:cs="Times New Roman"/>
          <w:kern w:val="0"/>
          <w:sz w:val="28"/>
          <w:szCs w:val="28"/>
          <w:highlight w:val="none"/>
        </w:rPr>
        <w:t>）共同验</w:t>
      </w:r>
      <w:r>
        <w:rPr>
          <w:rFonts w:hint="eastAsia" w:ascii="Times New Roman" w:hAnsi="Times New Roman" w:eastAsia="仿宋" w:cs="Times New Roman"/>
          <w:kern w:val="0"/>
          <w:sz w:val="28"/>
          <w:szCs w:val="28"/>
        </w:rPr>
        <w:t>收，并在送货单及入库单上签字确认</w:t>
      </w:r>
      <w:r>
        <w:rPr>
          <w:rFonts w:hint="eastAsia" w:ascii="Times New Roman" w:hAnsi="Times New Roman" w:eastAsia="仿宋" w:cs="Times New Roman"/>
          <w:kern w:val="0"/>
          <w:sz w:val="28"/>
          <w:szCs w:val="28"/>
          <w:lang w:eastAsia="zh-CN"/>
        </w:rPr>
        <w:t>。</w:t>
      </w:r>
      <w:r>
        <w:rPr>
          <w:rFonts w:hint="eastAsia" w:ascii="Times New Roman" w:hAnsi="Times New Roman" w:eastAsia="仿宋" w:cs="Times New Roman"/>
          <w:kern w:val="0"/>
          <w:sz w:val="28"/>
          <w:szCs w:val="28"/>
        </w:rPr>
        <w:t>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hint="eastAsia" w:ascii="Times New Roman" w:hAnsi="Times New Roman" w:eastAsia="仿宋" w:cs="Times New Roman"/>
          <w:kern w:val="0"/>
          <w:sz w:val="28"/>
          <w:szCs w:val="28"/>
          <w:u w:val="single"/>
          <w:lang w:val="en-US" w:eastAsia="zh-CN"/>
        </w:rPr>
        <w:t xml:space="preserve">   </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hint="eastAsia" w:ascii="Times New Roman" w:hAnsi="Times New Roman" w:eastAsia="仿宋" w:cs="Times New Roman"/>
          <w:kern w:val="0"/>
          <w:sz w:val="28"/>
          <w:szCs w:val="28"/>
          <w:u w:val="single"/>
          <w:lang w:val="en-US" w:eastAsia="zh-CN"/>
        </w:rPr>
        <w:t xml:space="preserve">   </w:t>
      </w:r>
      <w:r>
        <w:rPr>
          <w:rFonts w:hint="eastAsia" w:ascii="Times New Roman" w:hAnsi="Times New Roman" w:eastAsia="仿宋" w:cs="Times New Roman"/>
          <w:kern w:val="0"/>
          <w:sz w:val="28"/>
          <w:szCs w:val="28"/>
        </w:rPr>
        <w:t>日的，甲方有权拒绝接受货物并要求乙方支付货款的</w:t>
      </w:r>
      <w:r>
        <w:rPr>
          <w:rFonts w:hint="eastAsia" w:ascii="Times New Roman" w:hAnsi="Times New Roman" w:eastAsia="仿宋" w:cs="Times New Roman"/>
          <w:kern w:val="0"/>
          <w:sz w:val="28"/>
          <w:szCs w:val="28"/>
          <w:u w:val="single"/>
          <w:lang w:val="en-US" w:eastAsia="zh-CN"/>
        </w:rPr>
        <w:t xml:space="preserve">   </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lang w:val="en-US" w:eastAsia="zh-CN"/>
        </w:rPr>
        <w:t xml:space="preserve">     </w:t>
      </w:r>
      <w:r>
        <w:rPr>
          <w:rFonts w:hint="eastAsia" w:ascii="Times New Roman" w:hAnsi="Times New Roman" w:eastAsia="仿宋" w:cs="Times New Roman"/>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lang w:val="en-US" w:eastAsia="zh-CN"/>
        </w:rPr>
        <w:t xml:space="preserve">     </w:t>
      </w:r>
      <w:r>
        <w:rPr>
          <w:rFonts w:hint="eastAsia" w:ascii="Times New Roman" w:hAnsi="Times New Roman" w:eastAsia="仿宋" w:cs="Times New Roman"/>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2"/>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lang w:val="en-US" w:eastAsia="zh-CN"/>
        </w:rPr>
        <w:t xml:space="preserve">   </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 xml:space="preserve"> 乙方承诺、保证并同意：</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（2）国际组织的领导、官员和代表；</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（3）政府机构候选人，政党领导、员工和代表，王室成员；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（4）国有或国家控股公司或实体的官员和员工；</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 xml:space="preserve">（5）上述人员的近亲属或紧密关系人。 </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.4 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highlight w:val="none"/>
          <w:lang w:val="en-US" w:eastAsia="zh-CN"/>
        </w:rPr>
        <w:t>10.5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lang w:val="en-US" w:eastAsia="zh-CN"/>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lang w:val="en-US" w:eastAsia="zh-CN"/>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pStyle w:val="2"/>
        <w:rPr>
          <w:rFonts w:hint="eastAsia" w:ascii="Times New Roman" w:hAnsi="Times New Roman" w:eastAsia="仿宋" w:cs="Times New Roman"/>
          <w:kern w:val="0"/>
          <w:sz w:val="28"/>
          <w:szCs w:val="28"/>
        </w:rPr>
      </w:pPr>
    </w:p>
    <w:p>
      <w:pPr>
        <w:rPr>
          <w:rFonts w:hint="eastAsia" w:ascii="Times New Roman" w:hAnsi="Times New Roman" w:eastAsia="仿宋" w:cs="Times New Roman"/>
          <w:kern w:val="0"/>
          <w:sz w:val="28"/>
          <w:szCs w:val="28"/>
        </w:rPr>
      </w:pPr>
    </w:p>
    <w:p>
      <w:pPr>
        <w:pStyle w:val="2"/>
        <w:rPr>
          <w:rFonts w:hint="eastAsia" w:ascii="Times New Roman" w:hAnsi="Times New Roman" w:eastAsia="仿宋" w:cs="Times New Roman"/>
          <w:kern w:val="0"/>
          <w:sz w:val="28"/>
          <w:szCs w:val="28"/>
        </w:rPr>
      </w:pPr>
    </w:p>
    <w:p>
      <w:pPr>
        <w:rPr>
          <w:rFonts w:hint="eastAsia" w:ascii="Times New Roman" w:hAnsi="Times New Roman" w:eastAsia="仿宋" w:cs="Times New Roman"/>
          <w:kern w:val="0"/>
          <w:sz w:val="28"/>
          <w:szCs w:val="28"/>
        </w:rPr>
      </w:pPr>
    </w:p>
    <w:p>
      <w:pPr>
        <w:pStyle w:val="2"/>
        <w:rPr>
          <w:rFonts w:hint="eastAsia" w:ascii="Times New Roman" w:hAnsi="Times New Roman" w:eastAsia="仿宋" w:cs="Times New Roman"/>
          <w:kern w:val="0"/>
          <w:sz w:val="28"/>
          <w:szCs w:val="28"/>
        </w:rPr>
      </w:pPr>
    </w:p>
    <w:p>
      <w:pPr>
        <w:rPr>
          <w:rFonts w:hint="eastAsia" w:ascii="Times New Roman" w:hAnsi="Times New Roman" w:eastAsia="仿宋" w:cs="Times New Roman"/>
          <w:kern w:val="0"/>
          <w:sz w:val="28"/>
          <w:szCs w:val="28"/>
        </w:rPr>
      </w:pPr>
    </w:p>
    <w:p>
      <w:pPr>
        <w:pStyle w:val="2"/>
        <w:rPr>
          <w:rFonts w:hint="eastAsia" w:ascii="Times New Roman" w:hAnsi="Times New Roman" w:eastAsia="仿宋" w:cs="Times New Roman"/>
          <w:kern w:val="0"/>
          <w:sz w:val="28"/>
          <w:szCs w:val="28"/>
        </w:rPr>
      </w:pPr>
    </w:p>
    <w:p>
      <w:pPr>
        <w:rPr>
          <w:rFonts w:hint="eastAsia" w:ascii="Times New Roman" w:hAnsi="Times New Roman" w:eastAsia="仿宋" w:cs="Times New Roman"/>
          <w:kern w:val="0"/>
          <w:sz w:val="28"/>
          <w:szCs w:val="28"/>
        </w:rPr>
      </w:pPr>
    </w:p>
    <w:p>
      <w:pPr>
        <w:pStyle w:val="2"/>
        <w:rPr>
          <w:rFonts w:hint="eastAsia" w:ascii="Times New Roman" w:hAnsi="Times New Roman" w:eastAsia="仿宋" w:cs="Times New Roman"/>
          <w:kern w:val="0"/>
          <w:sz w:val="28"/>
          <w:szCs w:val="28"/>
        </w:rPr>
        <w:sectPr>
          <w:pgSz w:w="11906" w:h="16838"/>
          <w:pgMar w:top="1100" w:right="1486" w:bottom="1213" w:left="1800" w:header="851" w:footer="992" w:gutter="0"/>
          <w:cols w:space="720" w:num="1"/>
          <w:docGrid w:type="lines" w:linePitch="312" w:charSpace="0"/>
        </w:sectPr>
      </w:pPr>
    </w:p>
    <w:tbl>
      <w:tblPr>
        <w:tblStyle w:val="5"/>
        <w:tblW w:w="14168" w:type="dxa"/>
        <w:tblInd w:w="0" w:type="dxa"/>
        <w:shd w:val="clear" w:color="auto" w:fill="auto"/>
        <w:tblLayout w:type="fixed"/>
        <w:tblCellMar>
          <w:top w:w="0" w:type="dxa"/>
          <w:left w:w="0" w:type="dxa"/>
          <w:bottom w:w="0" w:type="dxa"/>
          <w:right w:w="0" w:type="dxa"/>
        </w:tblCellMar>
      </w:tblPr>
      <w:tblGrid>
        <w:gridCol w:w="962"/>
        <w:gridCol w:w="1556"/>
        <w:gridCol w:w="2000"/>
        <w:gridCol w:w="1305"/>
        <w:gridCol w:w="1340"/>
        <w:gridCol w:w="1340"/>
        <w:gridCol w:w="1437"/>
        <w:gridCol w:w="1622"/>
        <w:gridCol w:w="1526"/>
        <w:gridCol w:w="1080"/>
      </w:tblGrid>
      <w:tr>
        <w:tblPrEx>
          <w:shd w:val="clear" w:color="auto" w:fill="auto"/>
          <w:tblCellMar>
            <w:top w:w="0" w:type="dxa"/>
            <w:left w:w="0" w:type="dxa"/>
            <w:bottom w:w="0" w:type="dxa"/>
            <w:right w:w="0" w:type="dxa"/>
          </w:tblCellMar>
        </w:tblPrEx>
        <w:trPr>
          <w:trHeight w:val="300" w:hRule="atLeast"/>
        </w:trPr>
        <w:tc>
          <w:tcPr>
            <w:tcW w:w="2518" w:type="dxa"/>
            <w:gridSpan w:val="2"/>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32"/>
                <w:szCs w:val="32"/>
                <w:u w:val="none"/>
                <w:lang w:val="en-US" w:eastAsia="zh-CN" w:bidi="ar"/>
              </w:rPr>
              <w:t>合同附件1</w:t>
            </w:r>
          </w:p>
        </w:tc>
        <w:tc>
          <w:tcPr>
            <w:tcW w:w="200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305"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3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34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437"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622"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526"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510" w:hRule="atLeast"/>
        </w:trPr>
        <w:tc>
          <w:tcPr>
            <w:tcW w:w="9940" w:type="dxa"/>
            <w:gridSpan w:val="7"/>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_____________合同清单</w:t>
            </w:r>
          </w:p>
        </w:tc>
        <w:tc>
          <w:tcPr>
            <w:tcW w:w="1622" w:type="dxa"/>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526"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33"/>
                <w:szCs w:val="33"/>
                <w:u w:val="none"/>
              </w:rPr>
            </w:pP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29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货物（或应税劳务、服务等）名称</w:t>
            </w:r>
          </w:p>
        </w:tc>
        <w:tc>
          <w:tcPr>
            <w:tcW w:w="200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货物（或应税劳务、服务等）特征（规格、品牌）</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 xml:space="preserve">0.00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 xml:space="preserve">0.00 </w:t>
            </w: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2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 xml:space="preserve">0.00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33"/>
                <w:szCs w:val="33"/>
                <w:u w:val="none"/>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 xml:space="preserve">0.00 </w:t>
            </w: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30" w:hRule="atLeast"/>
        </w:trPr>
        <w:tc>
          <w:tcPr>
            <w:tcW w:w="96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155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40"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 xml:space="preserve">0.00 </w:t>
            </w:r>
          </w:p>
        </w:tc>
        <w:tc>
          <w:tcPr>
            <w:tcW w:w="1622"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0" w:type="dxa"/>
              <w:left w:w="10" w:type="dxa"/>
              <w:right w:w="10"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 xml:space="preserve">0.00 </w:t>
            </w: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962" w:type="dxa"/>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2126" w:type="dxa"/>
            <w:gridSpan w:val="8"/>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1、税率按国家法律法规及政策执行。</w:t>
            </w: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962" w:type="dxa"/>
            <w:tcBorders>
              <w:top w:val="nil"/>
              <w:left w:val="nil"/>
              <w:bottom w:val="nil"/>
              <w:right w:val="nil"/>
            </w:tcBorders>
            <w:shd w:val="clear" w:color="auto" w:fill="auto"/>
            <w:noWrap/>
            <w:tcMar>
              <w:top w:w="10" w:type="dxa"/>
              <w:left w:w="10" w:type="dxa"/>
              <w:right w:w="10" w:type="dxa"/>
            </w:tcMar>
            <w:vAlign w:val="center"/>
          </w:tcPr>
          <w:p>
            <w:pPr>
              <w:rPr>
                <w:rFonts w:hint="default" w:ascii="Times New Roman" w:hAnsi="Times New Roman" w:eastAsia="宋体" w:cs="Times New Roman"/>
                <w:i w:val="0"/>
                <w:color w:val="000000"/>
                <w:sz w:val="28"/>
                <w:szCs w:val="28"/>
                <w:u w:val="none"/>
              </w:rPr>
            </w:pPr>
          </w:p>
        </w:tc>
        <w:tc>
          <w:tcPr>
            <w:tcW w:w="12126" w:type="dxa"/>
            <w:gridSpan w:val="8"/>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、以上“税前单价”含</w:t>
            </w:r>
            <w:r>
              <w:rPr>
                <w:rFonts w:hint="default" w:ascii="Times New Roman" w:hAnsi="Times New Roman" w:eastAsia="宋体" w:cs="Times New Roman"/>
                <w:i w:val="0"/>
                <w:color w:val="000000"/>
                <w:kern w:val="0"/>
                <w:sz w:val="28"/>
                <w:szCs w:val="28"/>
                <w:u w:val="none"/>
                <w:lang w:val="en-US" w:eastAsia="zh-CN" w:bidi="ar"/>
              </w:rPr>
              <w:t>XX</w:t>
            </w:r>
            <w:r>
              <w:rPr>
                <w:rFonts w:hint="eastAsia" w:ascii="宋体" w:hAnsi="宋体" w:eastAsia="宋体" w:cs="宋体"/>
                <w:i w:val="0"/>
                <w:color w:val="000000"/>
                <w:kern w:val="0"/>
                <w:sz w:val="28"/>
                <w:szCs w:val="28"/>
                <w:u w:val="none"/>
                <w:lang w:val="en-US" w:eastAsia="zh-CN" w:bidi="ar"/>
              </w:rPr>
              <w:t>费等。</w:t>
            </w: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962"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2126" w:type="dxa"/>
            <w:gridSpan w:val="8"/>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r>
              <w:rPr>
                <w:rFonts w:hint="eastAsia" w:ascii="宋体" w:hAnsi="宋体" w:eastAsia="宋体" w:cs="宋体"/>
                <w:i w:val="0"/>
                <w:color w:val="000000"/>
                <w:kern w:val="0"/>
                <w:sz w:val="28"/>
                <w:szCs w:val="28"/>
                <w:u w:val="none"/>
                <w:lang w:val="en-US" w:eastAsia="zh-CN" w:bidi="ar"/>
              </w:rPr>
              <w:t>、收货计量方式：</w:t>
            </w: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440" w:hRule="atLeast"/>
        </w:trPr>
        <w:tc>
          <w:tcPr>
            <w:tcW w:w="962"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c>
          <w:tcPr>
            <w:tcW w:w="12126" w:type="dxa"/>
            <w:gridSpan w:val="8"/>
            <w:tcBorders>
              <w:top w:val="nil"/>
              <w:left w:val="nil"/>
              <w:bottom w:val="nil"/>
              <w:right w:val="nil"/>
            </w:tcBorders>
            <w:shd w:val="clear" w:color="auto" w:fill="auto"/>
            <w:noWrap/>
            <w:tcMar>
              <w:top w:w="10" w:type="dxa"/>
              <w:left w:w="10" w:type="dxa"/>
              <w:right w:w="10"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4</w:t>
            </w:r>
            <w:r>
              <w:rPr>
                <w:rFonts w:hint="eastAsia" w:ascii="宋体" w:hAnsi="宋体" w:eastAsia="宋体" w:cs="宋体"/>
                <w:i w:val="0"/>
                <w:color w:val="000000"/>
                <w:kern w:val="0"/>
                <w:sz w:val="28"/>
                <w:szCs w:val="28"/>
                <w:u w:val="none"/>
                <w:lang w:val="en-US" w:eastAsia="zh-CN" w:bidi="ar"/>
              </w:rPr>
              <w:t>、（按需要补充说明。）</w:t>
            </w:r>
          </w:p>
        </w:tc>
        <w:tc>
          <w:tcPr>
            <w:tcW w:w="1080" w:type="dxa"/>
            <w:tcBorders>
              <w:top w:val="nil"/>
              <w:left w:val="nil"/>
              <w:bottom w:val="nil"/>
              <w:right w:val="nil"/>
            </w:tcBorders>
            <w:shd w:val="clear" w:color="auto" w:fill="auto"/>
            <w:noWrap/>
            <w:tcMar>
              <w:top w:w="10" w:type="dxa"/>
              <w:left w:w="10" w:type="dxa"/>
              <w:right w:w="10" w:type="dxa"/>
            </w:tcMar>
            <w:vAlign w:val="center"/>
          </w:tcPr>
          <w:p>
            <w:pPr>
              <w:rPr>
                <w:rFonts w:hint="eastAsia" w:ascii="宋体" w:hAnsi="宋体" w:eastAsia="宋体" w:cs="宋体"/>
                <w:i w:val="0"/>
                <w:color w:val="000000"/>
                <w:sz w:val="24"/>
                <w:szCs w:val="24"/>
                <w:u w:val="none"/>
              </w:rPr>
            </w:pPr>
          </w:p>
        </w:tc>
      </w:tr>
    </w:tbl>
    <w:p>
      <w:pPr>
        <w:rPr>
          <w:rFonts w:hint="default"/>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both"/>
        <w:outlineLvl w:val="3"/>
        <w:rPr>
          <w:rFonts w:hint="eastAsia" w:ascii="宋体" w:hAnsi="宋体" w:cs="宋体"/>
          <w:b/>
          <w:sz w:val="30"/>
          <w:highlight w:val="none"/>
        </w:rPr>
      </w:pPr>
    </w:p>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南充市将军路嘉陵江大桥及引桥工程（二标段）滨江北路互通及石油东西路改造工程 钢绞线采购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rPr>
          <w:rFonts w:hint="default" w:ascii="Calibri" w:hAnsi="Calibri" w:eastAsia="宋体"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cs="宋体"/>
          <w:b/>
          <w:color w:val="auto"/>
          <w:sz w:val="32"/>
          <w:szCs w:val="32"/>
          <w:highlight w:val="none"/>
          <w:lang w:val="en-US" w:eastAsia="zh-CN"/>
        </w:rPr>
        <w:t>2020-03-030</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南充市将军路嘉陵江大桥及引桥工程（二标段）滨江北路互通及石油东西路改造工程钢绞线采购</w:t>
      </w:r>
      <w:r>
        <w:rPr>
          <w:rFonts w:hint="eastAsia" w:ascii="宋体" w:hAnsi="宋体" w:cs="宋体"/>
          <w:sz w:val="28"/>
          <w:szCs w:val="28"/>
          <w:highlight w:val="none"/>
        </w:rPr>
        <w:t>（项目名称）招采文件的全部内容，愿意以</w:t>
      </w:r>
      <w:r>
        <w:rPr>
          <w:rFonts w:hint="eastAsia" w:asciiTheme="minorEastAsia" w:hAnsiTheme="minorEastAsia" w:eastAsiaTheme="minorEastAsia" w:cstheme="minorEastAsia"/>
          <w:color w:val="auto"/>
          <w:sz w:val="28"/>
          <w:szCs w:val="28"/>
          <w:highlight w:val="none"/>
          <w:u w:val="single"/>
          <w:lang w:eastAsia="zh-CN"/>
        </w:rPr>
        <w:t>“我的钢铁网”重庆市场钢绞线价格行情网价</w:t>
      </w:r>
      <w:r>
        <w:rPr>
          <w:rFonts w:hint="eastAsia" w:asciiTheme="minorEastAsia" w:hAnsiTheme="minorEastAsia" w:eastAsiaTheme="minorEastAsia" w:cstheme="minorEastAsia"/>
          <w:color w:val="auto"/>
          <w:sz w:val="28"/>
          <w:szCs w:val="28"/>
          <w:highlight w:val="none"/>
          <w:u w:val="single"/>
        </w:rPr>
        <w:t>+</w:t>
      </w:r>
      <w:r>
        <w:rPr>
          <w:rFonts w:hint="eastAsia" w:asciiTheme="minorEastAsia" w:hAnsiTheme="minorEastAsia" w:eastAsiaTheme="minorEastAsia" w:cstheme="minorEastAsia"/>
          <w:color w:val="auto"/>
          <w:sz w:val="28"/>
          <w:szCs w:val="28"/>
          <w:highlight w:val="none"/>
          <w:u w:val="single"/>
          <w:lang w:eastAsia="zh-CN"/>
        </w:rPr>
        <w:t xml:space="preserve"> </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u w:val="single"/>
        </w:rPr>
        <w:t>元/吨</w:t>
      </w:r>
      <w:r>
        <w:rPr>
          <w:rFonts w:hint="eastAsia" w:ascii="宋体" w:hAnsi="宋体" w:cs="宋体"/>
          <w:sz w:val="28"/>
          <w:szCs w:val="28"/>
          <w:highlight w:val="none"/>
        </w:rPr>
        <w:t>的</w:t>
      </w:r>
      <w:r>
        <w:rPr>
          <w:rFonts w:hint="eastAsia" w:ascii="宋体" w:hAnsi="宋体" w:cs="宋体"/>
          <w:sz w:val="28"/>
          <w:szCs w:val="28"/>
          <w:highlight w:val="none"/>
          <w:lang w:eastAsia="zh-CN"/>
        </w:rPr>
        <w:t>含税</w:t>
      </w:r>
      <w:r>
        <w:rPr>
          <w:rFonts w:hint="eastAsia" w:ascii="宋体" w:hAnsi="宋体" w:cs="宋体"/>
          <w:sz w:val="28"/>
          <w:szCs w:val="28"/>
          <w:highlight w:val="none"/>
        </w:rPr>
        <w:t>投标</w:t>
      </w:r>
      <w:r>
        <w:rPr>
          <w:rFonts w:hint="eastAsia" w:ascii="宋体" w:hAnsi="宋体" w:cs="宋体"/>
          <w:sz w:val="28"/>
          <w:szCs w:val="28"/>
          <w:highlight w:val="none"/>
          <w:lang w:eastAsia="zh-CN"/>
        </w:rPr>
        <w:t>单</w:t>
      </w:r>
      <w:r>
        <w:rPr>
          <w:rFonts w:hint="eastAsia" w:ascii="宋体" w:hAnsi="宋体" w:cs="宋体"/>
          <w:sz w:val="28"/>
          <w:szCs w:val="28"/>
          <w:highlight w:val="none"/>
        </w:rPr>
        <w:t>价参与投标,此报价包含招采范围内的所有工</w:t>
      </w:r>
      <w:r>
        <w:rPr>
          <w:rFonts w:hint="eastAsia" w:ascii="宋体" w:hAnsi="宋体" w:cs="宋体"/>
          <w:sz w:val="28"/>
          <w:szCs w:val="28"/>
          <w:highlight w:val="none"/>
          <w:lang w:eastAsia="zh-CN"/>
        </w:rPr>
        <w:t>作</w:t>
      </w:r>
      <w:r>
        <w:rPr>
          <w:rFonts w:hint="eastAsia" w:ascii="宋体" w:hAnsi="宋体" w:cs="宋体"/>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w:t>
      </w:r>
      <w:r>
        <w:rPr>
          <w:rFonts w:hint="eastAsia" w:ascii="宋体" w:hAnsi="宋体" w:cs="宋体"/>
          <w:sz w:val="28"/>
          <w:szCs w:val="28"/>
          <w:highlight w:val="none"/>
          <w:u w:val="single"/>
          <w:lang w:val="en-US" w:eastAsia="zh-CN"/>
        </w:rPr>
        <w:t xml:space="preserve">        </w:t>
      </w:r>
      <w:r>
        <w:rPr>
          <w:rFonts w:hint="eastAsia" w:ascii="宋体" w:hAnsi="宋体" w:cs="宋体"/>
          <w:sz w:val="28"/>
          <w:szCs w:val="28"/>
          <w:highlight w:val="none"/>
          <w:u w:val="single"/>
        </w:rPr>
        <w:t xml:space="preserve">  （盖公章）</w:t>
      </w:r>
    </w:p>
    <w:p>
      <w:pPr>
        <w:spacing w:line="560" w:lineRule="exact"/>
        <w:ind w:left="2100" w:leftChars="1000"/>
        <w:jc w:val="left"/>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地址：</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电话：</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传真：</w:t>
      </w:r>
    </w:p>
    <w:p>
      <w:pPr>
        <w:spacing w:line="560" w:lineRule="exact"/>
        <w:ind w:left="2100" w:leftChars="1000"/>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90779596"/>
      <w:bookmarkStart w:id="31" w:name="_Toc26066260"/>
      <w:bookmarkStart w:id="32" w:name="_Toc65998016"/>
      <w:bookmarkStart w:id="33" w:name="_Toc6397151"/>
      <w:bookmarkStart w:id="34" w:name="_Toc500861027"/>
      <w:bookmarkStart w:id="35" w:name="_Toc6727972"/>
      <w:bookmarkStart w:id="36" w:name="_Toc49165868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8"/>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南充市将军路嘉陵江大桥及引桥工程（二标段）滨江北路互通及石油东西路改造工程钢绞线采购</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szCs w:val="28"/>
          <w:highlight w:val="none"/>
          <w:lang w:val="en-US" w:eastAsia="zh-CN"/>
        </w:rPr>
        <w:t>2020-03-030</w:t>
      </w:r>
      <w:r>
        <w:rPr>
          <w:rFonts w:hint="eastAsia" w:ascii="宋体" w:hAnsi="宋体" w:cs="宋体"/>
          <w:kern w:val="0"/>
          <w:sz w:val="28"/>
          <w:szCs w:val="28"/>
          <w:highlight w:val="none"/>
        </w:rPr>
        <w:t>）</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1312;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ind w:firstLine="560" w:firstLineChars="200"/>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南充市将军路嘉陵江大桥及引桥工程（二标段）滨江北路互通及石油东西路改造工程钢绞线采购</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w:t>
      </w:r>
      <w:r>
        <w:rPr>
          <w:rFonts w:hint="eastAsia" w:ascii="宋体" w:hAnsi="宋体" w:cs="宋体"/>
          <w:kern w:val="0"/>
          <w:sz w:val="28"/>
          <w:szCs w:val="28"/>
          <w:highlight w:val="none"/>
          <w:lang w:val="en-US" w:eastAsia="zh-CN"/>
        </w:rPr>
        <w:t>2020-03-030</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DIwqtoAAAAKAQAADwAAAAAAAAABACAAAAAiAAAAZHJzL2Rvd25yZXYu&#10;eG1sUEsBAhQAFAAAAAgAh07iQKIY23T5AQAAOwQAAA4AAAAAAAAAAQAgAAAAKQ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3"/>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p>
      <w:pPr>
        <w:widowControl/>
        <w:numPr>
          <w:ilvl w:val="0"/>
          <w:numId w:val="0"/>
        </w:numPr>
        <w:jc w:val="center"/>
        <w:outlineLvl w:val="4"/>
        <w:rPr>
          <w:rFonts w:hint="eastAsia" w:ascii="宋体" w:hAnsi="宋体" w:cs="宋体"/>
          <w:b/>
          <w:sz w:val="28"/>
          <w:szCs w:val="28"/>
          <w:highlight w:val="none"/>
        </w:rPr>
      </w:pPr>
    </w:p>
    <w:tbl>
      <w:tblPr>
        <w:tblStyle w:val="5"/>
        <w:tblW w:w="11000" w:type="dxa"/>
        <w:tblInd w:w="-13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614"/>
        <w:gridCol w:w="1361"/>
        <w:gridCol w:w="519"/>
        <w:gridCol w:w="1405"/>
        <w:gridCol w:w="1713"/>
        <w:gridCol w:w="550"/>
        <w:gridCol w:w="1750"/>
        <w:gridCol w:w="663"/>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463"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61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361"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519"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405"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2263"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24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1962"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6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61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361"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519"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05"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713"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55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7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1962"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4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kern w:val="2"/>
                <w:sz w:val="24"/>
                <w:szCs w:val="24"/>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6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钢绞线</w:t>
            </w:r>
          </w:p>
        </w:tc>
        <w:tc>
          <w:tcPr>
            <w:tcW w:w="13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Ф15.2</w:t>
            </w:r>
          </w:p>
        </w:tc>
        <w:tc>
          <w:tcPr>
            <w:tcW w:w="51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吨</w:t>
            </w:r>
          </w:p>
        </w:tc>
        <w:tc>
          <w:tcPr>
            <w:tcW w:w="14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410.707</w:t>
            </w:r>
          </w:p>
        </w:tc>
        <w:tc>
          <w:tcPr>
            <w:tcW w:w="1713"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eastAsia="zh-CN"/>
              </w:rPr>
              <w:t>“我的钢铁网”重庆市场钢绞线价格行情网价+</w:t>
            </w:r>
            <w:r>
              <w:rPr>
                <w:rFonts w:hint="eastAsia" w:ascii="Times New Roman" w:hAnsi="Times New Roman" w:cs="Times New Roman"/>
                <w:color w:val="auto"/>
                <w:sz w:val="24"/>
                <w:highlight w:val="none"/>
                <w:lang w:val="en-US" w:eastAsia="zh-CN"/>
              </w:rPr>
              <w:t>60</w:t>
            </w:r>
            <w:r>
              <w:rPr>
                <w:rFonts w:hint="eastAsia" w:ascii="Times New Roman" w:hAnsi="Times New Roman" w:cs="Times New Roman"/>
                <w:color w:val="auto"/>
                <w:sz w:val="24"/>
                <w:highlight w:val="none"/>
                <w:lang w:eastAsia="zh-CN"/>
              </w:rPr>
              <w:t>.00元/吨</w:t>
            </w:r>
          </w:p>
        </w:tc>
        <w:tc>
          <w:tcPr>
            <w:tcW w:w="550" w:type="dxa"/>
            <w:tcBorders>
              <w:top w:val="single" w:color="auto" w:sz="4" w:space="0"/>
              <w:left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c>
          <w:tcPr>
            <w:tcW w:w="1750" w:type="dxa"/>
            <w:tcBorders>
              <w:top w:val="single" w:color="auto" w:sz="4" w:space="0"/>
              <w:left w:val="single" w:color="auto" w:sz="4" w:space="0"/>
            </w:tcBorders>
            <w:shd w:val="clear" w:color="auto" w:fill="auto"/>
          </w:tcPr>
          <w:p>
            <w:pPr>
              <w:spacing w:line="240" w:lineRule="auto"/>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eastAsia="zh-CN"/>
              </w:rPr>
              <w:t>“我的钢铁网”重庆市场钢绞线价格行情网价</w:t>
            </w:r>
            <w:r>
              <w:rPr>
                <w:rFonts w:hint="eastAsia" w:ascii="Times New Roman" w:hAnsi="Times New Roman" w:cs="Times New Roman"/>
                <w:color w:val="auto"/>
                <w:sz w:val="24"/>
                <w:highlight w:val="none"/>
              </w:rPr>
              <w:t>+</w:t>
            </w:r>
            <w:r>
              <w:rPr>
                <w:rFonts w:hint="eastAsia" w:ascii="Times New Roman" w:hAnsi="Times New Roman"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rPr>
              <w:t>.00元</w:t>
            </w:r>
            <w:r>
              <w:rPr>
                <w:rFonts w:hint="eastAsia" w:ascii="Times New Roman" w:hAnsi="Times New Roman" w:cs="Times New Roman"/>
                <w:color w:val="auto"/>
                <w:sz w:val="24"/>
                <w:highlight w:val="none"/>
                <w:lang w:val="en-US" w:eastAsia="zh-CN"/>
              </w:rPr>
              <w:t>/吨</w:t>
            </w:r>
          </w:p>
        </w:tc>
        <w:tc>
          <w:tcPr>
            <w:tcW w:w="663" w:type="dxa"/>
            <w:tcBorders>
              <w:top w:val="single" w:color="auto" w:sz="4" w:space="0"/>
              <w:left w:val="single" w:color="auto" w:sz="4" w:space="0"/>
            </w:tcBorders>
            <w:shd w:val="clear" w:color="auto" w:fill="auto"/>
          </w:tcPr>
          <w:p>
            <w:pPr>
              <w:spacing w:line="240" w:lineRule="auto"/>
              <w:jc w:val="center"/>
              <w:rPr>
                <w:rFonts w:hint="eastAsia" w:ascii="Times New Roman" w:hAnsi="Times New Roman" w:cs="Times New Roman"/>
                <w:color w:val="auto"/>
                <w:sz w:val="24"/>
                <w:highlight w:val="none"/>
                <w:lang w:val="en-US" w:eastAsia="zh-CN"/>
              </w:rPr>
            </w:pPr>
          </w:p>
          <w:p>
            <w:pPr>
              <w:spacing w:line="240" w:lineRule="auto"/>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c>
          <w:tcPr>
            <w:tcW w:w="1962" w:type="dxa"/>
            <w:tcBorders>
              <w:top w:val="single" w:color="auto" w:sz="4" w:space="0"/>
              <w:left w:val="single" w:color="auto" w:sz="4" w:space="0"/>
            </w:tcBorders>
            <w:shd w:val="clear" w:color="auto" w:fill="auto"/>
            <w:vAlign w:val="center"/>
          </w:tcPr>
          <w:p>
            <w:pPr>
              <w:spacing w:line="400" w:lineRule="exact"/>
              <w:jc w:val="center"/>
              <w:rPr>
                <w:rFonts w:ascii="Times New Roman" w:hAnsi="Times New Roman" w:cs="Times New Roman"/>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4362"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合计（元）</w:t>
            </w:r>
          </w:p>
        </w:tc>
        <w:tc>
          <w:tcPr>
            <w:tcW w:w="2263" w:type="dxa"/>
            <w:gridSpan w:val="2"/>
            <w:tcBorders>
              <w:left w:val="single" w:color="auto" w:sz="4" w:space="0"/>
              <w:bottom w:val="single" w:color="auto" w:sz="4" w:space="0"/>
            </w:tcBorders>
            <w:shd w:val="clear" w:color="auto" w:fill="auto"/>
            <w:vAlign w:val="center"/>
          </w:tcPr>
          <w:p>
            <w:pPr>
              <w:spacing w:line="400" w:lineRule="exact"/>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c>
          <w:tcPr>
            <w:tcW w:w="2413" w:type="dxa"/>
            <w:gridSpan w:val="2"/>
            <w:tcBorders>
              <w:left w:val="single" w:color="auto" w:sz="4" w:space="0"/>
              <w:bottom w:val="single" w:color="auto" w:sz="4" w:space="0"/>
            </w:tcBorders>
            <w:shd w:val="clear" w:color="auto" w:fill="auto"/>
          </w:tcPr>
          <w:p>
            <w:pPr>
              <w:spacing w:line="240" w:lineRule="auto"/>
              <w:jc w:val="center"/>
              <w:rPr>
                <w:rFonts w:hint="eastAsia" w:ascii="Times New Roman" w:hAnsi="Times New Roman" w:cs="Times New Roman"/>
                <w:color w:val="auto"/>
                <w:sz w:val="24"/>
                <w:highlight w:val="none"/>
                <w:lang w:val="en-US" w:eastAsia="zh-CN"/>
              </w:rPr>
            </w:pPr>
          </w:p>
          <w:p>
            <w:pPr>
              <w:spacing w:line="240" w:lineRule="auto"/>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c>
          <w:tcPr>
            <w:tcW w:w="1962"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cs="Times New Roman"/>
                <w:color w:val="auto"/>
                <w:sz w:val="24"/>
                <w:highlight w:val="none"/>
              </w:rPr>
            </w:pPr>
          </w:p>
        </w:tc>
      </w:tr>
    </w:tbl>
    <w:p>
      <w:pPr>
        <w:rPr>
          <w:rFonts w:hint="eastAsia" w:ascii="宋体" w:hAnsi="宋体" w:eastAsia="宋体" w:cs="宋体"/>
          <w:sz w:val="28"/>
          <w:szCs w:val="28"/>
          <w:highlight w:val="none"/>
          <w:lang w:eastAsia="zh-CN"/>
        </w:rPr>
      </w:pPr>
      <w:r>
        <w:rPr>
          <w:rFonts w:hint="eastAsia" w:ascii="宋体" w:hAnsi="宋体" w:cs="宋体"/>
          <w:sz w:val="28"/>
          <w:szCs w:val="28"/>
          <w:highlight w:val="none"/>
          <w:lang w:eastAsia="zh-CN"/>
        </w:rPr>
        <w:t>备注：</w:t>
      </w:r>
      <w:r>
        <w:rPr>
          <w:rFonts w:hint="eastAsia" w:ascii="宋体" w:hAnsi="宋体" w:cs="宋体"/>
          <w:sz w:val="28"/>
          <w:szCs w:val="28"/>
          <w:highlight w:val="none"/>
          <w:lang w:val="en-US" w:eastAsia="zh-CN"/>
        </w:rPr>
        <w:t>1、</w:t>
      </w:r>
      <w:r>
        <w:rPr>
          <w:rFonts w:hint="eastAsia" w:ascii="宋体" w:hAnsi="宋体" w:cs="宋体"/>
          <w:sz w:val="28"/>
          <w:szCs w:val="28"/>
          <w:highlight w:val="none"/>
          <w:lang w:eastAsia="zh-CN"/>
        </w:rPr>
        <w:t>报价含13%增值税、含材料费、运费、吊装费。</w:t>
      </w:r>
    </w:p>
    <w:p>
      <w:pPr>
        <w:rPr>
          <w:rFonts w:hint="eastAsia" w:ascii="宋体" w:hAnsi="宋体" w:cs="宋体"/>
          <w:sz w:val="28"/>
          <w:szCs w:val="28"/>
          <w:highlight w:val="none"/>
          <w:lang w:eastAsia="zh-CN"/>
        </w:rPr>
      </w:pPr>
      <w:r>
        <w:rPr>
          <w:rFonts w:hint="eastAsia" w:ascii="宋体" w:hAnsi="宋体" w:cs="宋体"/>
          <w:sz w:val="28"/>
          <w:szCs w:val="28"/>
          <w:highlight w:val="none"/>
          <w:lang w:val="en-US" w:eastAsia="zh-CN"/>
        </w:rPr>
        <w:t>2、</w:t>
      </w:r>
      <w:r>
        <w:rPr>
          <w:rFonts w:hint="eastAsia" w:ascii="宋体" w:hAnsi="宋体" w:cs="宋体"/>
          <w:sz w:val="28"/>
          <w:szCs w:val="28"/>
          <w:highlight w:val="none"/>
          <w:lang w:eastAsia="zh-CN"/>
        </w:rPr>
        <w:t>钢绞线价格按到货当日的“我的钢铁网”（重庆市场钢绞线价格行情）同规格型号第一次网价为基准。若某规格型号没有网价时按双方协商认可为准。节假日期间到货按放假前一天第一次网价为准。周末没有网价的按周五第一次网价为准。在招采人发出材料计划通知后3个工作内中选人需将钢绞线送到询价人指定的工地。如3个工作日内未到货，该批钢绞线价格则按招采人材料计划通知后至到场之日内“我的钢铁网”（重庆市场钢绞线价格行情）同规格型号最低价格为基准计价。超过6个工作日内未到货视为不能交货，招采人此时有权在其他供应商处调货，同时中选人应向招采人偿付不能交货部分货款的3%的违约金。交货量以施工现场实际到场验收合格数量过磅计量，若双方对过磅重量产生争议，双方将该批钢绞线送至双方认可的第三方复磅。若磅差在千分之三以内，则以中选人送货单上重量为准，复磅产生的费用由招采人承担；若磅差超过千分之三，则以第三方复磅的重量为准，复磅产生的费用由中选人承担。</w:t>
      </w:r>
    </w:p>
    <w:p>
      <w:pPr>
        <w:rPr>
          <w:rFonts w:ascii="宋体" w:hAnsi="宋体" w:cs="宋体"/>
          <w:sz w:val="28"/>
          <w:szCs w:val="28"/>
          <w:highlight w:val="none"/>
        </w:rPr>
      </w:pPr>
    </w:p>
    <w:p>
      <w:pPr>
        <w:rPr>
          <w:rFonts w:ascii="宋体" w:hAnsi="宋体" w:cs="宋体"/>
          <w:sz w:val="28"/>
          <w:szCs w:val="28"/>
          <w:highlight w:val="none"/>
        </w:rPr>
      </w:pP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cs="宋体"/>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rPr>
          <w:b/>
          <w:sz w:val="30"/>
          <w:szCs w:val="30"/>
          <w:highlight w:val="none"/>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南充市将军路嘉陵江大桥及引桥工程（二标段）滨江北路互通及石油东西路改造工程</w:t>
      </w:r>
    </w:p>
    <w:p>
      <w:pPr>
        <w:spacing w:line="560" w:lineRule="exact"/>
        <w:jc w:val="center"/>
        <w:rPr>
          <w:rFonts w:hint="eastAsia" w:ascii="宋体" w:hAnsi="宋体" w:cs="宋体"/>
          <w:b/>
          <w:color w:val="auto"/>
          <w:sz w:val="44"/>
          <w:szCs w:val="44"/>
          <w:highlight w:val="none"/>
          <w:lang w:eastAsia="zh-CN"/>
        </w:rPr>
      </w:pPr>
      <w:r>
        <w:rPr>
          <w:rFonts w:hint="eastAsia" w:ascii="宋体" w:hAnsi="宋体" w:cs="宋体"/>
          <w:b/>
          <w:color w:val="auto"/>
          <w:sz w:val="44"/>
          <w:szCs w:val="44"/>
          <w:highlight w:val="none"/>
          <w:lang w:val="en-US" w:eastAsia="zh-CN"/>
        </w:rPr>
        <w:t>钢绞线采购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tabs>
          <w:tab w:val="left" w:pos="670"/>
          <w:tab w:val="center" w:pos="4252"/>
        </w:tabs>
        <w:snapToGrid w:val="0"/>
        <w:spacing w:line="480" w:lineRule="auto"/>
        <w:ind w:firstLine="0" w:firstLineChars="0"/>
        <w:jc w:val="both"/>
        <w:rPr>
          <w:rFonts w:hint="eastAsia" w:ascii="Calibri" w:hAnsi="Calibri" w:cs="宋体"/>
          <w:b/>
          <w:color w:val="auto"/>
          <w:sz w:val="32"/>
          <w:szCs w:val="32"/>
          <w:highlight w:val="none"/>
          <w:u w:val="singl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cs="宋体"/>
          <w:b/>
          <w:color w:val="auto"/>
          <w:sz w:val="32"/>
          <w:szCs w:val="32"/>
          <w:highlight w:val="none"/>
          <w:lang w:val="en-US" w:eastAsia="zh-CN"/>
        </w:rPr>
        <w:t>2020-03-030</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sectPr>
      <w:footerReference r:id="rId3" w:type="default"/>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A7014E6"/>
    <w:multiLevelType w:val="singleLevel"/>
    <w:tmpl w:val="5A7014E6"/>
    <w:lvl w:ilvl="0" w:tentative="0">
      <w:start w:val="1"/>
      <w:numFmt w:val="decimal"/>
      <w:suff w:val="nothing"/>
      <w:lvlText w:val="%1）"/>
      <w:lvlJc w:val="left"/>
    </w:lvl>
  </w:abstractNum>
  <w:abstractNum w:abstractNumId="2">
    <w:nsid w:val="5B189A32"/>
    <w:multiLevelType w:val="singleLevel"/>
    <w:tmpl w:val="5B189A32"/>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6CF022E"/>
    <w:rsid w:val="08B8047F"/>
    <w:rsid w:val="090A52C8"/>
    <w:rsid w:val="096D48A6"/>
    <w:rsid w:val="09E86A2F"/>
    <w:rsid w:val="0A3D65C2"/>
    <w:rsid w:val="0A5E3CCC"/>
    <w:rsid w:val="0B4A6DE7"/>
    <w:rsid w:val="0CFD62BF"/>
    <w:rsid w:val="0D2E546B"/>
    <w:rsid w:val="0E464DF8"/>
    <w:rsid w:val="0E6D012C"/>
    <w:rsid w:val="0EA310CE"/>
    <w:rsid w:val="0F7F230A"/>
    <w:rsid w:val="14610CE2"/>
    <w:rsid w:val="16356A36"/>
    <w:rsid w:val="16A00957"/>
    <w:rsid w:val="16CE26C9"/>
    <w:rsid w:val="176C5067"/>
    <w:rsid w:val="17A048F2"/>
    <w:rsid w:val="1848025B"/>
    <w:rsid w:val="264375D8"/>
    <w:rsid w:val="27754AA2"/>
    <w:rsid w:val="28335BCC"/>
    <w:rsid w:val="2927519D"/>
    <w:rsid w:val="2A293243"/>
    <w:rsid w:val="2F9F0BC4"/>
    <w:rsid w:val="300C1A8E"/>
    <w:rsid w:val="333D3E3E"/>
    <w:rsid w:val="347A0541"/>
    <w:rsid w:val="37457C4C"/>
    <w:rsid w:val="3F337C7B"/>
    <w:rsid w:val="3FCE26E4"/>
    <w:rsid w:val="3FE404AA"/>
    <w:rsid w:val="432D1865"/>
    <w:rsid w:val="44931655"/>
    <w:rsid w:val="44E17150"/>
    <w:rsid w:val="45C73E49"/>
    <w:rsid w:val="462B35F0"/>
    <w:rsid w:val="46B70579"/>
    <w:rsid w:val="4A4D006E"/>
    <w:rsid w:val="4BC42DAD"/>
    <w:rsid w:val="50251A1A"/>
    <w:rsid w:val="50F37175"/>
    <w:rsid w:val="548B6CEA"/>
    <w:rsid w:val="57D2292F"/>
    <w:rsid w:val="5953087D"/>
    <w:rsid w:val="61C104EB"/>
    <w:rsid w:val="68C24E3B"/>
    <w:rsid w:val="690B5C09"/>
    <w:rsid w:val="6BDA17BE"/>
    <w:rsid w:val="6E4614E6"/>
    <w:rsid w:val="6F35522F"/>
    <w:rsid w:val="6F9A4A6D"/>
    <w:rsid w:val="708E144A"/>
    <w:rsid w:val="709E1FAD"/>
    <w:rsid w:val="73D56032"/>
    <w:rsid w:val="73EA1E5C"/>
    <w:rsid w:val="745310C8"/>
    <w:rsid w:val="74612225"/>
    <w:rsid w:val="748A3C08"/>
    <w:rsid w:val="750C1E46"/>
    <w:rsid w:val="767B0EC7"/>
    <w:rsid w:val="76C86DF1"/>
    <w:rsid w:val="7A567300"/>
    <w:rsid w:val="7CD91BAF"/>
    <w:rsid w:val="7D0C14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font31"/>
    <w:basedOn w:val="7"/>
    <w:qFormat/>
    <w:uiPriority w:val="0"/>
    <w:rPr>
      <w:rFonts w:hint="eastAsia" w:ascii="宋体" w:hAnsi="宋体" w:eastAsia="宋体" w:cs="宋体"/>
      <w:color w:val="000000"/>
      <w:sz w:val="28"/>
      <w:szCs w:val="28"/>
      <w:u w:val="none"/>
    </w:rPr>
  </w:style>
  <w:style w:type="character" w:customStyle="1" w:styleId="10">
    <w:name w:val="font01"/>
    <w:basedOn w:val="7"/>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dcterms:modified xsi:type="dcterms:W3CDTF">2020-12-16T09:02:35Z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