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bookmarkStart w:id="139" w:name="_GoBack"/>
      <w:bookmarkEnd w:id="139"/>
    </w:p>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ascii="黑体" w:hAnsi="宋体" w:eastAsia="黑体"/>
          <w:b/>
          <w:sz w:val="28"/>
          <w:szCs w:val="28"/>
        </w:rPr>
      </w:pPr>
      <w:bookmarkStart w:id="0" w:name="_Hlk58742316"/>
      <w:r>
        <w:rPr>
          <w:rFonts w:hint="eastAsia" w:ascii="黑体" w:hAnsi="宋体" w:eastAsia="黑体"/>
          <w:b/>
          <w:sz w:val="28"/>
          <w:szCs w:val="28"/>
        </w:rPr>
        <w:t>西大附中周边道路二期工程（一标段）</w:t>
      </w:r>
      <w:bookmarkEnd w:id="0"/>
      <w:r>
        <w:rPr>
          <w:rFonts w:hint="eastAsia" w:ascii="黑体" w:hAnsi="宋体" w:eastAsia="黑体"/>
          <w:b/>
          <w:sz w:val="28"/>
          <w:szCs w:val="28"/>
        </w:rPr>
        <w:t>土石方专业分包</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ascii="宋体" w:hAnsi="宋体" w:eastAsia="宋体" w:cs="宋体"/>
          <w:sz w:val="28"/>
          <w:szCs w:val="22"/>
          <w:u w:val="single"/>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2021-01-1026</w:t>
      </w:r>
    </w:p>
    <w:p>
      <w:pPr>
        <w:spacing w:line="360" w:lineRule="auto"/>
        <w:rPr>
          <w:rFonts w:ascii="宋体" w:hAnsi="宋体" w:eastAsia="宋体" w:cs="宋体"/>
        </w:rPr>
      </w:pPr>
    </w:p>
    <w:p>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2021</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pPr>
        <w:numPr>
          <w:ilvl w:val="0"/>
          <w:numId w:val="1"/>
        </w:numPr>
        <w:snapToGrid w:val="0"/>
        <w:spacing w:line="520" w:lineRule="exact"/>
        <w:ind w:firstLine="560" w:firstLineChars="200"/>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bCs/>
          <w:sz w:val="28"/>
          <w:szCs w:val="22"/>
          <w:u w:val="single"/>
        </w:rPr>
        <w:t xml:space="preserve">西大附中周边道路二期工程（一标段）土石方专业分包 </w:t>
      </w:r>
      <w:r>
        <w:rPr>
          <w:rFonts w:hint="eastAsia" w:ascii="宋体" w:hAnsi="宋体" w:eastAsia="宋体" w:cs="宋体"/>
          <w:sz w:val="28"/>
          <w:szCs w:val="22"/>
        </w:rPr>
        <w:t>进行招采，现邀请贵公司参与，并按本招采文件的规定提交投标文件。</w:t>
      </w:r>
    </w:p>
    <w:p>
      <w:pPr>
        <w:numPr>
          <w:ilvl w:val="0"/>
          <w:numId w:val="1"/>
        </w:numPr>
        <w:snapToGrid w:val="0"/>
        <w:spacing w:line="520" w:lineRule="exact"/>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u w:val="single"/>
        </w:rPr>
        <w:t>西大附中周边道路二期工程（一标段）</w:t>
      </w:r>
      <w:r>
        <w:rPr>
          <w:rFonts w:hint="eastAsia" w:ascii="宋体" w:hAnsi="宋体" w:eastAsia="宋体" w:cs="宋体"/>
          <w:sz w:val="28"/>
          <w:szCs w:val="22"/>
        </w:rPr>
        <w:t>。</w:t>
      </w:r>
    </w:p>
    <w:p>
      <w:pPr>
        <w:numPr>
          <w:ilvl w:val="0"/>
          <w:numId w:val="1"/>
        </w:numPr>
        <w:snapToGrid w:val="0"/>
        <w:spacing w:line="520" w:lineRule="exact"/>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bCs/>
          <w:sz w:val="28"/>
          <w:szCs w:val="22"/>
          <w:u w:val="single"/>
        </w:rPr>
        <w:t xml:space="preserve"> </w:t>
      </w:r>
      <w:r>
        <w:rPr>
          <w:rFonts w:hint="eastAsia" w:ascii="宋体" w:hAnsi="宋体" w:eastAsia="宋体" w:cs="宋体"/>
          <w:sz w:val="28"/>
          <w:szCs w:val="22"/>
          <w:u w:val="single"/>
          <w:lang w:val="en-US" w:eastAsia="zh-CN"/>
        </w:rPr>
        <w:t>2021-01-1026</w:t>
      </w:r>
      <w:r>
        <w:rPr>
          <w:rFonts w:hint="eastAsia" w:ascii="宋体" w:hAnsi="宋体" w:eastAsia="宋体" w:cs="宋体"/>
          <w:bCs/>
          <w:sz w:val="28"/>
          <w:szCs w:val="22"/>
          <w:u w:val="single"/>
        </w:rPr>
        <w:t xml:space="preserve"> </w:t>
      </w:r>
      <w:r>
        <w:rPr>
          <w:rFonts w:hint="eastAsia" w:ascii="Calibri" w:hAnsi="Calibri" w:eastAsia="华文仿宋" w:cs="华文仿宋"/>
          <w:sz w:val="28"/>
          <w:szCs w:val="28"/>
        </w:rPr>
        <w:t>。</w:t>
      </w:r>
    </w:p>
    <w:p>
      <w:pPr>
        <w:numPr>
          <w:ilvl w:val="0"/>
          <w:numId w:val="1"/>
        </w:numPr>
        <w:snapToGrid w:val="0"/>
        <w:spacing w:line="520" w:lineRule="exact"/>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重庆两江新区水土高新园。</w:t>
      </w:r>
    </w:p>
    <w:p>
      <w:pPr>
        <w:numPr>
          <w:ilvl w:val="0"/>
          <w:numId w:val="1"/>
        </w:numPr>
        <w:snapToGrid w:val="0"/>
        <w:spacing w:line="520" w:lineRule="exact"/>
        <w:ind w:firstLine="560" w:firstLineChars="200"/>
        <w:rPr>
          <w:rFonts w:ascii="宋体" w:hAnsi="宋体" w:eastAsia="宋体" w:cs="宋体"/>
          <w:bCs/>
          <w:sz w:val="28"/>
          <w:szCs w:val="22"/>
          <w:u w:val="single"/>
        </w:rPr>
      </w:pPr>
      <w:r>
        <w:rPr>
          <w:rFonts w:hint="eastAsia" w:ascii="宋体" w:hAnsi="宋体" w:eastAsia="宋体" w:cs="宋体"/>
          <w:bCs/>
          <w:sz w:val="28"/>
          <w:szCs w:val="22"/>
          <w:u w:val="single"/>
        </w:rPr>
        <w:t>投标人资质要求：必须是重庆对外建设（集团）有限公司合格供方库内单位，且无失信记录。本次要求投标人具有一定技术实力和管理能力且取得公司法人《营业执照》的企业，</w:t>
      </w:r>
      <w:r>
        <w:rPr>
          <w:rFonts w:hint="eastAsia" w:ascii="宋体" w:hAnsi="宋体" w:eastAsia="宋体" w:cs="宋体"/>
          <w:bCs/>
          <w:sz w:val="28"/>
          <w:szCs w:val="22"/>
          <w:u w:val="single"/>
          <w:lang w:eastAsia="zh-CN"/>
        </w:rPr>
        <w:t>近三年完成过类似工程（附土石方工程合同复印件）</w:t>
      </w:r>
      <w:r>
        <w:rPr>
          <w:rFonts w:hint="eastAsia" w:ascii="宋体" w:hAnsi="宋体" w:eastAsia="宋体" w:cs="宋体"/>
          <w:bCs/>
          <w:sz w:val="28"/>
          <w:szCs w:val="22"/>
          <w:u w:val="single"/>
        </w:rPr>
        <w:t>。单位负责人为同一人或者存在控股、管理关系的不同单位不能同时参与投标。</w:t>
      </w:r>
      <w:r>
        <w:rPr>
          <w:rFonts w:ascii="宋体" w:hAnsi="宋体" w:eastAsia="宋体" w:cs="宋体"/>
          <w:bCs/>
          <w:sz w:val="28"/>
          <w:szCs w:val="22"/>
          <w:u w:val="single"/>
        </w:rPr>
        <w:t xml:space="preserve"> </w:t>
      </w:r>
    </w:p>
    <w:p>
      <w:pPr>
        <w:snapToGrid w:val="0"/>
        <w:spacing w:line="520" w:lineRule="exact"/>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520" w:lineRule="exact"/>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eastAsia="zh-CN"/>
        </w:rPr>
        <w:t>2021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12</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520" w:lineRule="exact"/>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520" w:lineRule="exact"/>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520" w:lineRule="exact"/>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520" w:lineRule="exact"/>
        <w:ind w:firstLine="560" w:firstLineChars="200"/>
        <w:jc w:val="right"/>
        <w:rPr>
          <w:rFonts w:ascii="宋体" w:hAnsi="宋体" w:eastAsia="宋体" w:cs="宋体"/>
          <w:bCs/>
          <w:sz w:val="28"/>
          <w:szCs w:val="22"/>
        </w:rPr>
      </w:pPr>
      <w:r>
        <w:rPr>
          <w:rFonts w:hint="eastAsia" w:ascii="宋体" w:hAnsi="宋体" w:eastAsia="宋体" w:cs="宋体"/>
          <w:bCs/>
          <w:sz w:val="28"/>
          <w:szCs w:val="22"/>
        </w:rPr>
        <w:t>招采人：重庆对外建设（集团）有限公司</w:t>
      </w:r>
    </w:p>
    <w:p>
      <w:pPr>
        <w:snapToGrid w:val="0"/>
        <w:spacing w:line="520" w:lineRule="exact"/>
        <w:ind w:firstLine="560" w:firstLineChars="200"/>
        <w:jc w:val="right"/>
        <w:rPr>
          <w:rFonts w:ascii="宋体" w:hAnsi="宋体" w:eastAsia="宋体" w:cs="宋体"/>
          <w:bCs/>
          <w:sz w:val="28"/>
          <w:szCs w:val="22"/>
        </w:rPr>
      </w:pPr>
      <w:r>
        <w:rPr>
          <w:rFonts w:hint="eastAsia" w:ascii="宋体" w:hAnsi="宋体" w:eastAsia="宋体" w:cs="宋体"/>
          <w:bCs/>
          <w:sz w:val="28"/>
          <w:szCs w:val="22"/>
        </w:rPr>
        <w:t>日  期：</w:t>
      </w:r>
      <w:r>
        <w:rPr>
          <w:rFonts w:hint="eastAsia" w:ascii="宋体" w:hAnsi="宋体" w:eastAsia="宋体" w:cs="宋体"/>
          <w:bCs/>
          <w:sz w:val="28"/>
          <w:szCs w:val="22"/>
          <w:lang w:eastAsia="zh-CN"/>
        </w:rPr>
        <w:t>2021</w:t>
      </w:r>
      <w:r>
        <w:rPr>
          <w:rFonts w:hint="eastAsia" w:ascii="宋体" w:hAnsi="宋体" w:eastAsia="宋体" w:cs="宋体"/>
          <w:bCs/>
          <w:sz w:val="28"/>
          <w:szCs w:val="22"/>
        </w:rPr>
        <w:t>年</w:t>
      </w:r>
      <w:r>
        <w:rPr>
          <w:rFonts w:hint="eastAsia" w:ascii="宋体" w:hAnsi="宋体" w:eastAsia="宋体" w:cs="宋体"/>
          <w:bCs/>
          <w:sz w:val="28"/>
          <w:szCs w:val="22"/>
          <w:lang w:val="en-US" w:eastAsia="zh-CN"/>
        </w:rPr>
        <w:t>1</w:t>
      </w:r>
      <w:r>
        <w:rPr>
          <w:rFonts w:hint="eastAsia" w:ascii="宋体" w:hAnsi="宋体" w:eastAsia="宋体" w:cs="宋体"/>
          <w:bCs/>
          <w:sz w:val="28"/>
          <w:szCs w:val="22"/>
        </w:rPr>
        <w:t>月</w:t>
      </w:r>
      <w:r>
        <w:rPr>
          <w:rFonts w:hint="eastAsia" w:ascii="宋体" w:hAnsi="宋体" w:eastAsia="宋体" w:cs="宋体"/>
          <w:bCs/>
          <w:sz w:val="28"/>
          <w:szCs w:val="22"/>
          <w:lang w:val="en-US" w:eastAsia="zh-CN"/>
        </w:rPr>
        <w:t>12</w:t>
      </w:r>
      <w:r>
        <w:rPr>
          <w:rFonts w:hint="eastAsia" w:ascii="宋体" w:hAnsi="宋体" w:eastAsia="宋体" w:cs="宋体"/>
          <w:bCs/>
          <w:sz w:val="28"/>
          <w:szCs w:val="22"/>
        </w:rPr>
        <w:t>日</w:t>
      </w:r>
    </w:p>
    <w:p>
      <w:pPr>
        <w:snapToGrid w:val="0"/>
        <w:spacing w:line="520" w:lineRule="exact"/>
        <w:ind w:firstLine="560" w:firstLineChars="200"/>
        <w:jc w:val="right"/>
        <w:rPr>
          <w:rFonts w:ascii="宋体" w:hAnsi="宋体" w:eastAsia="宋体" w:cs="宋体"/>
          <w:bCs/>
          <w:sz w:val="28"/>
          <w:szCs w:val="22"/>
        </w:rPr>
      </w:pPr>
      <w:r>
        <w:rPr>
          <w:rFonts w:hint="eastAsia" w:ascii="宋体" w:hAnsi="宋体" w:eastAsia="宋体" w:cs="宋体"/>
          <w:bCs/>
          <w:sz w:val="28"/>
          <w:szCs w:val="22"/>
        </w:rPr>
        <w:t xml:space="preserve">   招采联系人：招采部</w:t>
      </w:r>
    </w:p>
    <w:p>
      <w:pPr>
        <w:snapToGrid w:val="0"/>
        <w:spacing w:line="520" w:lineRule="exact"/>
        <w:ind w:firstLine="560" w:firstLineChars="200"/>
        <w:jc w:val="right"/>
        <w:rPr>
          <w:rFonts w:hint="eastAsia" w:ascii="宋体" w:hAnsi="宋体" w:eastAsia="宋体" w:cs="宋体"/>
          <w:bCs/>
          <w:sz w:val="28"/>
          <w:szCs w:val="22"/>
        </w:rPr>
      </w:pPr>
      <w:r>
        <w:rPr>
          <w:rFonts w:hint="eastAsia" w:ascii="宋体" w:hAnsi="宋体" w:eastAsia="宋体" w:cs="宋体"/>
          <w:bCs/>
          <w:sz w:val="28"/>
          <w:szCs w:val="22"/>
        </w:rPr>
        <w:t xml:space="preserve">联系方式：023-63076532  </w:t>
      </w:r>
    </w:p>
    <w:p>
      <w:pPr>
        <w:snapToGrid w:val="0"/>
        <w:spacing w:line="520" w:lineRule="exact"/>
        <w:ind w:firstLine="560" w:firstLineChars="200"/>
        <w:jc w:val="right"/>
        <w:rPr>
          <w:rFonts w:hint="eastAsia" w:ascii="宋体" w:hAnsi="宋体" w:eastAsia="宋体" w:cs="宋体"/>
          <w:bCs/>
          <w:sz w:val="28"/>
          <w:szCs w:val="22"/>
        </w:rPr>
      </w:pPr>
    </w:p>
    <w:p>
      <w:pPr>
        <w:snapToGrid w:val="0"/>
        <w:spacing w:line="520" w:lineRule="exact"/>
        <w:ind w:firstLine="602" w:firstLineChars="200"/>
        <w:jc w:val="center"/>
        <w:rPr>
          <w:rFonts w:ascii="宋体" w:hAnsi="宋体" w:eastAsia="宋体" w:cs="宋体"/>
          <w:b/>
          <w:sz w:val="30"/>
          <w:szCs w:val="22"/>
        </w:rPr>
      </w:pPr>
      <w:r>
        <w:rPr>
          <w:rFonts w:hint="eastAsia" w:ascii="宋体" w:hAnsi="宋体" w:eastAsia="宋体" w:cs="宋体"/>
          <w:b/>
          <w:sz w:val="30"/>
          <w:szCs w:val="22"/>
        </w:rPr>
        <w:t>第二部分   投标人须知前附表</w:t>
      </w:r>
    </w:p>
    <w:tbl>
      <w:tblPr>
        <w:tblStyle w:val="12"/>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cs="宋体"/>
                <w:kern w:val="0"/>
                <w:sz w:val="24"/>
              </w:rPr>
              <w:t>西大附中周边道路二期工程（一标段）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cs="宋体" w:asciiTheme="minorEastAsia" w:hAnsiTheme="minorEastAsia"/>
                <w:sz w:val="24"/>
              </w:rPr>
            </w:pPr>
            <w:bookmarkStart w:id="1" w:name="_Hlk58847844"/>
            <w:r>
              <w:rPr>
                <w:rFonts w:hint="eastAsia" w:cs="宋体" w:asciiTheme="minorEastAsia" w:hAnsiTheme="minorEastAsia"/>
                <w:bCs/>
                <w:sz w:val="24"/>
              </w:rPr>
              <w:t>重庆两江新区水土高新园</w:t>
            </w:r>
            <w:bookmarkEnd w:id="1"/>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西大附中周边道路二期工程（一标段）主要工程内容包括：</w:t>
            </w:r>
            <w:bookmarkStart w:id="2" w:name="_Hlk58847905"/>
            <w:r>
              <w:rPr>
                <w:rFonts w:hint="eastAsia" w:ascii="宋体" w:hAnsi="宋体" w:eastAsia="宋体" w:cs="宋体"/>
                <w:sz w:val="24"/>
              </w:rPr>
              <w:t>A</w:t>
            </w:r>
            <w:r>
              <w:rPr>
                <w:rFonts w:ascii="宋体" w:hAnsi="宋体" w:eastAsia="宋体" w:cs="宋体"/>
                <w:sz w:val="24"/>
              </w:rPr>
              <w:t>1</w:t>
            </w:r>
            <w:r>
              <w:rPr>
                <w:rFonts w:hint="eastAsia" w:ascii="宋体" w:hAnsi="宋体" w:eastAsia="宋体" w:cs="宋体"/>
                <w:sz w:val="24"/>
              </w:rPr>
              <w:t>、A</w:t>
            </w:r>
            <w:r>
              <w:rPr>
                <w:rFonts w:ascii="宋体" w:hAnsi="宋体" w:eastAsia="宋体" w:cs="宋体"/>
                <w:sz w:val="24"/>
              </w:rPr>
              <w:t>2</w:t>
            </w:r>
            <w:r>
              <w:rPr>
                <w:rFonts w:hint="eastAsia" w:ascii="宋体" w:hAnsi="宋体" w:eastAsia="宋体" w:cs="宋体"/>
                <w:sz w:val="24"/>
              </w:rPr>
              <w:t>、A</w:t>
            </w:r>
            <w:r>
              <w:rPr>
                <w:rFonts w:ascii="宋体" w:hAnsi="宋体" w:eastAsia="宋体" w:cs="宋体"/>
                <w:sz w:val="24"/>
              </w:rPr>
              <w:t>6</w:t>
            </w:r>
            <w:r>
              <w:rPr>
                <w:rFonts w:hint="eastAsia" w:ascii="宋体" w:hAnsi="宋体" w:eastAsia="宋体" w:cs="宋体"/>
                <w:sz w:val="24"/>
              </w:rPr>
              <w:t>共含三条道路；其中A1路起于云汉大道，设计终止于Z4路下穿道，道路等级为城市次干路，设计车速为30km/h，本次设计施工范围道路全长556.888m，标准路幅宽度2</w:t>
            </w:r>
            <w:r>
              <w:rPr>
                <w:rFonts w:ascii="宋体" w:hAnsi="宋体" w:eastAsia="宋体" w:cs="宋体"/>
                <w:sz w:val="24"/>
              </w:rPr>
              <w:t>6</w:t>
            </w:r>
            <w:r>
              <w:rPr>
                <w:rFonts w:hint="eastAsia" w:ascii="宋体" w:hAnsi="宋体" w:eastAsia="宋体" w:cs="宋体"/>
                <w:sz w:val="24"/>
              </w:rPr>
              <w:t>m，为双向4车道；A2路起于万福路，止于A1路，道路等级为城市支路，设计车速为30km/h，道路全长</w:t>
            </w:r>
            <w:r>
              <w:rPr>
                <w:rFonts w:ascii="宋体" w:hAnsi="宋体" w:eastAsia="宋体" w:cs="宋体"/>
                <w:sz w:val="24"/>
              </w:rPr>
              <w:t>4</w:t>
            </w:r>
            <w:r>
              <w:rPr>
                <w:rFonts w:hint="eastAsia" w:ascii="宋体" w:hAnsi="宋体" w:eastAsia="宋体" w:cs="宋体"/>
                <w:sz w:val="24"/>
              </w:rPr>
              <w:t>5</w:t>
            </w:r>
            <w:r>
              <w:rPr>
                <w:rFonts w:ascii="宋体" w:hAnsi="宋体" w:eastAsia="宋体" w:cs="宋体"/>
                <w:sz w:val="24"/>
              </w:rPr>
              <w:t>3.</w:t>
            </w:r>
            <w:r>
              <w:rPr>
                <w:rFonts w:hint="eastAsia" w:ascii="宋体" w:hAnsi="宋体" w:eastAsia="宋体" w:cs="宋体"/>
                <w:sz w:val="24"/>
              </w:rPr>
              <w:t>347m，标准路幅宽度1</w:t>
            </w:r>
            <w:r>
              <w:rPr>
                <w:rFonts w:ascii="宋体" w:hAnsi="宋体" w:eastAsia="宋体" w:cs="宋体"/>
                <w:sz w:val="24"/>
              </w:rPr>
              <w:t>6</w:t>
            </w:r>
            <w:r>
              <w:rPr>
                <w:rFonts w:hint="eastAsia" w:ascii="宋体" w:hAnsi="宋体" w:eastAsia="宋体" w:cs="宋体"/>
                <w:sz w:val="24"/>
              </w:rPr>
              <w:t>m，为双向2车道；</w:t>
            </w:r>
            <w:r>
              <w:rPr>
                <w:rFonts w:ascii="宋体" w:hAnsi="宋体" w:eastAsia="宋体" w:cs="宋体"/>
                <w:sz w:val="24"/>
              </w:rPr>
              <w:t>A6路桥梁及接线工程起于1号路，止于竹溪河沿岸道路，道路全长750.083m。其中含大桥一座，桥梁全长180m，两端接线工程全长570.083m，等级为城市支路，设计车速为20km/h，标准路幅宽度16m，为双向2车道</w:t>
            </w:r>
            <w:bookmarkEnd w:id="2"/>
            <w:r>
              <w:rPr>
                <w:rFonts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rPr>
            </w:pPr>
            <w:r>
              <w:rPr>
                <w:rFonts w:hint="eastAsia" w:ascii="宋体" w:hAnsi="宋体" w:eastAsia="宋体" w:cs="宋体"/>
                <w:sz w:val="24"/>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必须是重庆对外建设（集团）有限公司合格供方库内单位，且无失信记录。本次要求投标人具有一定技术实力和管理能力且取得公司法人《营业执照》的企业，</w:t>
            </w:r>
            <w:r>
              <w:rPr>
                <w:rFonts w:hint="eastAsia" w:ascii="宋体" w:hAnsi="宋体" w:eastAsia="宋体" w:cs="宋体"/>
                <w:sz w:val="24"/>
                <w:lang w:eastAsia="zh-CN"/>
              </w:rPr>
              <w:t>近三年完成过类似工程（附土石方工程合同复印件）</w:t>
            </w:r>
            <w:r>
              <w:rPr>
                <w:rFonts w:hint="eastAsia" w:ascii="宋体" w:hAnsi="宋体" w:eastAsia="宋体" w:cs="宋体"/>
                <w:sz w:val="24"/>
              </w:rPr>
              <w:t>。</w:t>
            </w:r>
            <w:r>
              <w:rPr>
                <w:rFonts w:hint="eastAsia" w:ascii="宋体" w:hAnsi="宋体" w:eastAsia="宋体" w:cs="宋体"/>
                <w:sz w:val="24"/>
                <w:szCs w:val="24"/>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420"/>
              <w:jc w:val="left"/>
              <w:rPr>
                <w:rFonts w:ascii="宋体" w:hAnsi="宋体" w:eastAsia="宋体" w:cs="宋体"/>
                <w:sz w:val="24"/>
              </w:rPr>
            </w:pPr>
            <w:r>
              <w:rPr>
                <w:rFonts w:hint="eastAsia" w:ascii="宋体" w:hAnsi="宋体" w:eastAsia="宋体" w:cs="宋体"/>
                <w:sz w:val="24"/>
                <w:szCs w:val="24"/>
              </w:rPr>
              <w:t>西大附中周边道路二期工程（一标段）</w:t>
            </w:r>
            <w:r>
              <w:rPr>
                <w:rFonts w:ascii="宋体" w:hAnsi="宋体" w:eastAsia="宋体" w:cs="宋体"/>
                <w:sz w:val="24"/>
              </w:rPr>
              <w:t>A1</w:t>
            </w:r>
            <w:r>
              <w:rPr>
                <w:rFonts w:hint="eastAsia" w:ascii="宋体" w:hAnsi="宋体" w:eastAsia="宋体" w:cs="宋体"/>
                <w:sz w:val="24"/>
              </w:rPr>
              <w:t>、A</w:t>
            </w:r>
            <w:r>
              <w:rPr>
                <w:rFonts w:ascii="宋体" w:hAnsi="宋体" w:eastAsia="宋体" w:cs="宋体"/>
                <w:sz w:val="24"/>
              </w:rPr>
              <w:t>2</w:t>
            </w:r>
            <w:r>
              <w:rPr>
                <w:rFonts w:hint="eastAsia" w:ascii="宋体" w:hAnsi="宋体" w:eastAsia="宋体" w:cs="宋体"/>
                <w:sz w:val="24"/>
              </w:rPr>
              <w:t>、A</w:t>
            </w:r>
            <w:r>
              <w:rPr>
                <w:rFonts w:ascii="宋体" w:hAnsi="宋体" w:eastAsia="宋体" w:cs="宋体"/>
                <w:sz w:val="24"/>
              </w:rPr>
              <w:t>6</w:t>
            </w:r>
            <w:r>
              <w:rPr>
                <w:rFonts w:hint="eastAsia" w:ascii="宋体" w:hAnsi="宋体" w:eastAsia="宋体" w:cs="宋体"/>
                <w:sz w:val="24"/>
              </w:rPr>
              <w:t>道路及排水管网土石方开挖、回填、余土弃置（具体施工内容以设计图纸及业主现场书面通知为准）。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 w:val="24"/>
              </w:rPr>
            </w:pPr>
            <w:r>
              <w:rPr>
                <w:rFonts w:hint="eastAsia" w:ascii="宋体" w:hAnsi="宋体" w:eastAsia="宋体" w:cs="宋体"/>
                <w:sz w:val="24"/>
              </w:rPr>
              <w:t>本工程乙方必须按总包合同有关质量约定，并按照国家和地方政府颁布现行的</w:t>
            </w:r>
            <w:r>
              <w:rPr>
                <w:rFonts w:hint="eastAsia"/>
                <w:color w:val="000000"/>
                <w:sz w:val="24"/>
                <w:lang w:bidi="ar"/>
              </w:rPr>
              <w:t>《城市道路工程设计规范》、</w:t>
            </w:r>
            <w:r>
              <w:rPr>
                <w:rFonts w:hint="eastAsia" w:ascii="宋体" w:hAnsi="宋体"/>
                <w:spacing w:val="3"/>
                <w:sz w:val="24"/>
              </w:rPr>
              <w:t>《城镇给水排水技术规范》</w:t>
            </w:r>
            <w:r>
              <w:rPr>
                <w:rFonts w:hint="eastAsia" w:ascii="宋体" w:hAnsi="宋体" w:eastAsia="宋体" w:cs="宋体"/>
                <w:sz w:val="24"/>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color w:val="FF0000"/>
                <w:sz w:val="24"/>
              </w:rPr>
            </w:pPr>
            <w:r>
              <w:rPr>
                <w:rFonts w:hint="eastAsia" w:ascii="宋体" w:hAnsi="宋体" w:eastAsia="宋体" w:cs="宋体"/>
                <w:sz w:val="24"/>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暂估</w:t>
            </w:r>
            <w:r>
              <w:rPr>
                <w:rFonts w:ascii="宋体" w:hAnsi="宋体" w:eastAsia="宋体" w:cs="宋体"/>
                <w:sz w:val="24"/>
              </w:rPr>
              <w:t>8</w:t>
            </w:r>
            <w:r>
              <w:rPr>
                <w:rFonts w:hint="eastAsia" w:ascii="宋体" w:hAnsi="宋体" w:eastAsia="宋体" w:cs="宋体"/>
                <w:sz w:val="24"/>
              </w:rPr>
              <w:t>个月（开工时间以甲方书面通知为准）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 xml:space="preserve">  暂定</w:t>
            </w:r>
            <w:r>
              <w:rPr>
                <w:rFonts w:ascii="宋体" w:hAnsi="宋体" w:eastAsia="宋体" w:cs="宋体"/>
                <w:color w:val="000000"/>
                <w:sz w:val="24"/>
              </w:rPr>
              <w:t>635.472243</w:t>
            </w:r>
            <w:r>
              <w:rPr>
                <w:rFonts w:hint="eastAsia" w:ascii="宋体" w:hAnsi="宋体" w:eastAsia="宋体" w:cs="宋体"/>
                <w:sz w:val="24"/>
                <w:lang w:bidi="ar"/>
              </w:rPr>
              <w:t>万元（含税）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乙方向甲方缴纳1%的履约保证金；</w:t>
            </w:r>
          </w:p>
          <w:p>
            <w:pPr>
              <w:snapToGrid w:val="0"/>
              <w:spacing w:line="340" w:lineRule="exact"/>
              <w:jc w:val="left"/>
              <w:rPr>
                <w:rFonts w:ascii="宋体" w:hAnsi="宋体" w:eastAsia="宋体" w:cs="宋体"/>
                <w:sz w:val="24"/>
              </w:rPr>
            </w:pPr>
            <w:r>
              <w:rPr>
                <w:rFonts w:hint="eastAsia" w:ascii="宋体" w:hAnsi="宋体" w:eastAsia="宋体" w:cs="宋体"/>
                <w:sz w:val="24"/>
              </w:rPr>
              <w:t>保证金退还：一是工程实体完成； 二是专业分包结算工作完成，经甲方复审确认；三是验收合格必须达到三个月以上。达到退还条件并按程序审批完成后的60天内无息退还到乙方单位账户。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spacing w:line="360" w:lineRule="exact"/>
              <w:rPr>
                <w:rFonts w:cs="宋体"/>
                <w:sz w:val="24"/>
                <w:szCs w:val="24"/>
              </w:rPr>
            </w:pPr>
            <w:r>
              <w:rPr>
                <w:sz w:val="24"/>
                <w:szCs w:val="24"/>
              </w:rPr>
              <w:t>1</w:t>
            </w:r>
            <w:r>
              <w:rPr>
                <w:rFonts w:hint="eastAsia" w:cs="宋体"/>
                <w:sz w:val="24"/>
                <w:szCs w:val="24"/>
              </w:rPr>
              <w:t xml:space="preserve">报价范围: </w:t>
            </w:r>
          </w:p>
          <w:p>
            <w:pPr>
              <w:pStyle w:val="6"/>
              <w:adjustRightInd/>
              <w:rPr>
                <w:iCs/>
                <w:sz w:val="24"/>
                <w:szCs w:val="24"/>
              </w:rPr>
            </w:pPr>
            <w:r>
              <w:rPr>
                <w:rFonts w:ascii="宋体" w:hAnsi="宋体" w:cs="宋体"/>
                <w:sz w:val="24"/>
              </w:rPr>
              <w:t>A1</w:t>
            </w:r>
            <w:r>
              <w:rPr>
                <w:rFonts w:hint="eastAsia" w:ascii="宋体" w:hAnsi="宋体" w:cs="宋体"/>
                <w:sz w:val="24"/>
              </w:rPr>
              <w:t>、</w:t>
            </w:r>
            <w:r>
              <w:rPr>
                <w:rFonts w:hint="eastAsia" w:ascii="宋体" w:hAnsi="宋体" w:cs="宋体"/>
                <w:sz w:val="24"/>
                <w:szCs w:val="24"/>
              </w:rPr>
              <w:t>A</w:t>
            </w:r>
            <w:r>
              <w:rPr>
                <w:rFonts w:ascii="宋体" w:hAnsi="宋体" w:cs="宋体"/>
                <w:sz w:val="24"/>
                <w:szCs w:val="24"/>
              </w:rPr>
              <w:t>2</w:t>
            </w:r>
            <w:r>
              <w:rPr>
                <w:rFonts w:hint="eastAsia" w:ascii="宋体" w:hAnsi="宋体" w:cs="宋体"/>
                <w:sz w:val="24"/>
                <w:szCs w:val="24"/>
              </w:rPr>
              <w:t>、A</w:t>
            </w:r>
            <w:r>
              <w:rPr>
                <w:rFonts w:ascii="宋体" w:hAnsi="宋体" w:cs="宋体"/>
                <w:sz w:val="24"/>
                <w:szCs w:val="24"/>
              </w:rPr>
              <w:t>6</w:t>
            </w:r>
            <w:r>
              <w:rPr>
                <w:rFonts w:hint="eastAsia" w:asciiTheme="minorHAnsi" w:hAnsiTheme="minorHAnsi" w:eastAsiaTheme="minorEastAsia" w:cstheme="minorBidi"/>
                <w:color w:val="000000"/>
                <w:sz w:val="24"/>
                <w:szCs w:val="24"/>
                <w:lang w:bidi="ar"/>
              </w:rPr>
              <w:t>道路及排水管网土石方开挖、回填、余土弃置（具体施工内容以设计图纸及业主现场书面通知为准）</w:t>
            </w:r>
            <w:r>
              <w:rPr>
                <w:rFonts w:hint="eastAsia" w:asciiTheme="minorHAnsi" w:hAnsiTheme="minorHAnsi" w:cstheme="minorBidi"/>
                <w:color w:val="000000"/>
                <w:sz w:val="24"/>
                <w:lang w:bidi="ar"/>
              </w:rPr>
              <w:t>。</w:t>
            </w:r>
          </w:p>
          <w:p>
            <w:pPr>
              <w:pStyle w:val="6"/>
              <w:adjustRightInd/>
              <w:rPr>
                <w:sz w:val="24"/>
                <w:szCs w:val="24"/>
              </w:rPr>
            </w:pPr>
            <w:r>
              <w:rPr>
                <w:iCs/>
                <w:sz w:val="24"/>
                <w:szCs w:val="24"/>
              </w:rPr>
              <w:t>2</w:t>
            </w:r>
            <w:r>
              <w:rPr>
                <w:rFonts w:hint="eastAsia" w:cs="宋体"/>
                <w:sz w:val="24"/>
                <w:szCs w:val="24"/>
              </w:rPr>
              <w:t>工程报价</w:t>
            </w:r>
          </w:p>
          <w:p>
            <w:pPr>
              <w:pStyle w:val="6"/>
              <w:adjustRightInd/>
              <w:rPr>
                <w:sz w:val="24"/>
                <w:szCs w:val="24"/>
              </w:rPr>
            </w:pPr>
            <w:r>
              <w:rPr>
                <w:rFonts w:hint="eastAsia" w:cs="宋体"/>
                <w:sz w:val="24"/>
                <w:szCs w:val="24"/>
              </w:rPr>
              <w:t>分项报价表的编制根据能满足施工要求的施工图，按项目分类分别列项。投标报价不得高于采购单位公布的最高限价且保留两位小数。</w:t>
            </w:r>
          </w:p>
          <w:p>
            <w:pPr>
              <w:pStyle w:val="6"/>
              <w:adjustRightInd/>
              <w:rPr>
                <w:sz w:val="24"/>
                <w:szCs w:val="24"/>
              </w:rPr>
            </w:pPr>
            <w:r>
              <w:rPr>
                <w:sz w:val="24"/>
                <w:szCs w:val="24"/>
              </w:rPr>
              <w:t>2.1</w:t>
            </w:r>
            <w:r>
              <w:rPr>
                <w:rFonts w:hint="eastAsia" w:cs="宋体"/>
                <w:sz w:val="24"/>
                <w:szCs w:val="24"/>
              </w:rPr>
              <w:t>投标报价要求</w:t>
            </w:r>
          </w:p>
          <w:p>
            <w:pPr>
              <w:pStyle w:val="6"/>
              <w:adjustRightInd/>
              <w:rPr>
                <w:sz w:val="24"/>
                <w:szCs w:val="24"/>
              </w:rPr>
            </w:pPr>
            <w:r>
              <w:rPr>
                <w:sz w:val="24"/>
                <w:szCs w:val="24"/>
              </w:rPr>
              <w:t>A</w:t>
            </w:r>
            <w:r>
              <w:rPr>
                <w:rFonts w:hint="eastAsia" w:cs="宋体"/>
                <w:sz w:val="24"/>
                <w:szCs w:val="24"/>
              </w:rPr>
              <w:t>、可竞争费用（即：包干价）根据招采文件、施工图，结合现场踏勘情况、市场和企业情况自主合理报价，实行综合单价包干，但不得低于企业成本。暂定价按报价表提供单价填报。</w:t>
            </w:r>
          </w:p>
          <w:p>
            <w:pPr>
              <w:pStyle w:val="6"/>
              <w:adjustRightInd/>
              <w:rPr>
                <w:sz w:val="24"/>
                <w:szCs w:val="24"/>
              </w:rPr>
            </w:pPr>
            <w:r>
              <w:rPr>
                <w:sz w:val="24"/>
                <w:szCs w:val="24"/>
              </w:rPr>
              <w:t xml:space="preserve">    B</w:t>
            </w:r>
            <w:r>
              <w:rPr>
                <w:rFonts w:hint="eastAsia" w:cs="宋体"/>
                <w:sz w:val="24"/>
                <w:szCs w:val="24"/>
              </w:rPr>
              <w:t>、列项按构件名称，不得漏报、多报，如漏报，视为含在其它项目中，如多列项，结算时予以扣除；</w:t>
            </w:r>
          </w:p>
          <w:p>
            <w:pPr>
              <w:pStyle w:val="6"/>
              <w:adjustRightInd/>
              <w:rPr>
                <w:sz w:val="24"/>
                <w:szCs w:val="24"/>
              </w:rPr>
            </w:pPr>
            <w:r>
              <w:rPr>
                <w:sz w:val="24"/>
                <w:szCs w:val="24"/>
              </w:rPr>
              <w:t xml:space="preserve">    C</w:t>
            </w:r>
            <w:r>
              <w:rPr>
                <w:rFonts w:hint="eastAsia" w:cs="宋体"/>
                <w:sz w:val="24"/>
                <w:szCs w:val="24"/>
              </w:rPr>
              <w:t>、工作内容应包括齐全，未齐全的视为齐全，实施时不得以此为理由不予施工或另行索赔费用；</w:t>
            </w:r>
          </w:p>
          <w:p>
            <w:pPr>
              <w:pStyle w:val="6"/>
              <w:adjustRightInd/>
              <w:rPr>
                <w:sz w:val="24"/>
                <w:szCs w:val="24"/>
              </w:rPr>
            </w:pPr>
            <w:r>
              <w:rPr>
                <w:sz w:val="24"/>
                <w:szCs w:val="24"/>
              </w:rPr>
              <w:t xml:space="preserve">    D</w:t>
            </w:r>
            <w:r>
              <w:rPr>
                <w:rFonts w:hint="eastAsia" w:cs="宋体"/>
                <w:sz w:val="24"/>
                <w:szCs w:val="24"/>
              </w:rPr>
              <w:t>、项目特征应准确表述，表述不准确的视为按设计或规范已表述准确；</w:t>
            </w:r>
          </w:p>
          <w:p>
            <w:pPr>
              <w:pStyle w:val="6"/>
              <w:adjustRightInd/>
              <w:rPr>
                <w:rFonts w:cs="宋体"/>
                <w:sz w:val="24"/>
                <w:szCs w:val="24"/>
              </w:rPr>
            </w:pPr>
            <w:r>
              <w:rPr>
                <w:sz w:val="24"/>
                <w:szCs w:val="24"/>
              </w:rPr>
              <w:t xml:space="preserve">    E</w:t>
            </w:r>
            <w:r>
              <w:rPr>
                <w:rFonts w:hint="eastAsia" w:cs="宋体"/>
                <w:sz w:val="24"/>
                <w:szCs w:val="24"/>
              </w:rPr>
              <w:t>、综合单价包括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48小时以内的风险、因交通管制暂停施工的风险、非甲方原因造成的管网破坏修复的风险等已含在工程量清单报价的单价内）、责任和义务（如因设计调整造成工程项目或数量变化必须无条件地接受并实施完成）等；综合单价不论现场情况怎么变化，单价固定不变。</w:t>
            </w:r>
          </w:p>
          <w:p>
            <w:pPr>
              <w:pStyle w:val="6"/>
              <w:adjustRightInd/>
              <w:rPr>
                <w:sz w:val="24"/>
                <w:szCs w:val="24"/>
              </w:rPr>
            </w:pPr>
            <w:r>
              <w:rPr>
                <w:sz w:val="24"/>
                <w:szCs w:val="24"/>
              </w:rPr>
              <w:t>F</w:t>
            </w:r>
            <w:r>
              <w:rPr>
                <w:rFonts w:hint="eastAsia" w:cs="宋体"/>
                <w:sz w:val="24"/>
                <w:szCs w:val="24"/>
              </w:rPr>
              <w:t>、严格按照招采文件提供的报价方式进行报价（详见投标报价表）。</w:t>
            </w:r>
          </w:p>
          <w:p>
            <w:pPr>
              <w:pStyle w:val="6"/>
              <w:adjustRightInd/>
              <w:snapToGrid w:val="0"/>
              <w:rPr>
                <w:rFonts w:ascii="宋体" w:hAnsi="宋体" w:cs="宋体"/>
                <w:spacing w:val="-6"/>
                <w:sz w:val="24"/>
                <w:szCs w:val="24"/>
              </w:rPr>
            </w:pPr>
            <w:r>
              <w:rPr>
                <w:rFonts w:hint="eastAsia" w:ascii="宋体" w:hAnsi="宋体" w:cs="宋体"/>
                <w:spacing w:val="-6"/>
                <w:sz w:val="24"/>
                <w:szCs w:val="24"/>
              </w:rPr>
              <w:t>特别提示：</w:t>
            </w:r>
          </w:p>
          <w:p>
            <w:pPr>
              <w:pStyle w:val="6"/>
              <w:adjustRightInd/>
              <w:rPr>
                <w:sz w:val="24"/>
                <w:szCs w:val="24"/>
              </w:rPr>
            </w:pPr>
            <w:r>
              <w:rPr>
                <w:rFonts w:hint="eastAsia" w:ascii="宋体" w:hAnsi="宋体" w:cs="宋体"/>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adjustRightInd/>
              <w:snapToGrid w:val="0"/>
              <w:spacing w:line="360" w:lineRule="exact"/>
              <w:rPr>
                <w:rFonts w:ascii="宋体" w:hAnsi="宋体" w:cs="宋体"/>
                <w:sz w:val="24"/>
              </w:rPr>
            </w:pPr>
            <w:r>
              <w:rPr>
                <w:sz w:val="24"/>
                <w:szCs w:val="24"/>
              </w:rPr>
              <w:t>2.2</w:t>
            </w:r>
            <w:r>
              <w:rPr>
                <w:rFonts w:hint="eastAsia" w:cs="宋体"/>
                <w:sz w:val="24"/>
                <w:szCs w:val="24"/>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8"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sz w:val="24"/>
              </w:rPr>
            </w:pPr>
            <w:r>
              <w:rPr>
                <w:rFonts w:hint="eastAsia" w:ascii="宋体" w:hAnsi="宋体"/>
                <w:sz w:val="24"/>
              </w:rPr>
              <w:t>支付条款：</w:t>
            </w:r>
          </w:p>
          <w:p>
            <w:pPr>
              <w:snapToGrid w:val="0"/>
              <w:spacing w:line="340" w:lineRule="exact"/>
              <w:jc w:val="left"/>
              <w:rPr>
                <w:rFonts w:ascii="宋体" w:hAnsi="宋体"/>
                <w:sz w:val="24"/>
                <w:lang w:bidi="ar"/>
              </w:rPr>
            </w:pPr>
            <w:r>
              <w:rPr>
                <w:rFonts w:hint="eastAsia" w:ascii="宋体" w:hAnsi="宋体"/>
                <w:sz w:val="24"/>
                <w:lang w:bidi="ar"/>
              </w:rPr>
              <w:t>（1）甲方根据审核后的月进度结算金额，并扣除对乙方的甲供材料、甲供设备、各种违约金、代扣代缴等各项扣款后，甲方在收到发包人支付的工程进度款的次月28日内按</w:t>
            </w:r>
            <w:r>
              <w:rPr>
                <w:rFonts w:ascii="宋体" w:hAnsi="宋体"/>
                <w:sz w:val="24"/>
                <w:lang w:bidi="ar"/>
              </w:rPr>
              <w:t>60%</w:t>
            </w:r>
            <w:r>
              <w:rPr>
                <w:rFonts w:hint="eastAsia" w:ascii="宋体" w:hAnsi="宋体"/>
                <w:sz w:val="24"/>
                <w:lang w:bidi="ar"/>
              </w:rPr>
              <w:t>支付乙方分包工程进度款。</w:t>
            </w:r>
          </w:p>
          <w:p>
            <w:pPr>
              <w:snapToGrid w:val="0"/>
              <w:spacing w:line="340" w:lineRule="exact"/>
              <w:jc w:val="left"/>
              <w:rPr>
                <w:rFonts w:ascii="宋体" w:hAnsi="宋体"/>
                <w:sz w:val="24"/>
                <w:lang w:bidi="ar"/>
              </w:rPr>
            </w:pPr>
            <w:r>
              <w:rPr>
                <w:rFonts w:hint="eastAsia" w:ascii="宋体" w:hAnsi="宋体"/>
                <w:sz w:val="24"/>
                <w:lang w:bidi="ar"/>
              </w:rPr>
              <w:t>（2）工程完工验收合格后，甲方在收到发包人支付的工程进度款的次月28日内支付至累计月进度款的80%。</w:t>
            </w:r>
          </w:p>
          <w:p>
            <w:pPr>
              <w:snapToGrid w:val="0"/>
              <w:spacing w:line="340" w:lineRule="exact"/>
              <w:jc w:val="left"/>
              <w:rPr>
                <w:rFonts w:ascii="宋体" w:hAnsi="宋体"/>
                <w:sz w:val="24"/>
                <w:lang w:bidi="ar"/>
              </w:rPr>
            </w:pPr>
            <w:r>
              <w:rPr>
                <w:rFonts w:hint="eastAsia" w:ascii="宋体" w:hAnsi="宋体"/>
                <w:sz w:val="24"/>
                <w:lang w:bidi="ar"/>
              </w:rPr>
              <w:t>（3）分包结算完成并经甲方项目部和分公司结算审核后，三个月内支付到审定结算金额的95%；剩余5%作为质量保修金。</w:t>
            </w:r>
          </w:p>
          <w:p>
            <w:pPr>
              <w:snapToGrid w:val="0"/>
              <w:spacing w:line="340" w:lineRule="exact"/>
              <w:jc w:val="left"/>
              <w:rPr>
                <w:rFonts w:ascii="宋体" w:hAnsi="宋体"/>
                <w:sz w:val="24"/>
                <w:lang w:bidi="ar"/>
              </w:rPr>
            </w:pPr>
            <w:r>
              <w:rPr>
                <w:rFonts w:hint="eastAsia" w:ascii="宋体" w:hAnsi="宋体"/>
                <w:sz w:val="24"/>
                <w:lang w:bidi="ar"/>
              </w:rPr>
              <w:t>（4）5%的质量保修金在保修期满后，在完善相关手续后一次性无息付清。</w:t>
            </w:r>
          </w:p>
          <w:p>
            <w:pPr>
              <w:numPr>
                <w:ilvl w:val="255"/>
                <w:numId w:val="0"/>
              </w:numPr>
              <w:snapToGrid w:val="0"/>
              <w:spacing w:line="340" w:lineRule="exact"/>
              <w:jc w:val="left"/>
              <w:rPr>
                <w:rFonts w:ascii="宋体" w:hAnsi="宋体"/>
                <w:sz w:val="24"/>
              </w:rPr>
            </w:pPr>
            <w:r>
              <w:rPr>
                <w:rFonts w:hint="eastAsia" w:ascii="宋体" w:hAnsi="宋体"/>
                <w:sz w:val="24"/>
              </w:rPr>
              <w:t>（5）甲方的期间支付结算单仅作为进度款支付依据，不作为最终结算依据。</w:t>
            </w:r>
          </w:p>
          <w:p>
            <w:pPr>
              <w:numPr>
                <w:ilvl w:val="255"/>
                <w:numId w:val="0"/>
              </w:numPr>
              <w:snapToGrid w:val="0"/>
              <w:spacing w:line="340" w:lineRule="exact"/>
              <w:jc w:val="left"/>
              <w:rPr>
                <w:rFonts w:ascii="宋体" w:hAnsi="宋体"/>
                <w:sz w:val="24"/>
              </w:rPr>
            </w:pPr>
            <w:r>
              <w:rPr>
                <w:rFonts w:hint="eastAsia" w:ascii="Times New Roman" w:hAnsi="Times New Roman"/>
                <w:color w:val="000000"/>
                <w:sz w:val="24"/>
              </w:rPr>
              <w:t>所有支付节点前提要在收到工程款后进行支付。</w:t>
            </w:r>
          </w:p>
          <w:p>
            <w:pPr>
              <w:snapToGrid w:val="0"/>
              <w:spacing w:line="340" w:lineRule="exact"/>
              <w:jc w:val="left"/>
              <w:rPr>
                <w:rFonts w:ascii="宋体" w:hAnsi="宋体"/>
                <w:sz w:val="24"/>
              </w:rPr>
            </w:pPr>
            <w:r>
              <w:rPr>
                <w:rFonts w:hint="eastAsia" w:ascii="宋体" w:hAnsi="宋体"/>
                <w:sz w:val="24"/>
              </w:rPr>
              <w:t>支付方式：银行转账或承兑汇票、E信通等金融产品的一种或多种支付（若产生相关费用由甲方承担）。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sz w:val="24"/>
              </w:rPr>
            </w:pPr>
            <w:r>
              <w:rPr>
                <w:rFonts w:hint="eastAsia" w:ascii="宋体" w:hAnsi="宋体"/>
                <w:sz w:val="24"/>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sz w:val="24"/>
              </w:rPr>
            </w:pPr>
            <w:r>
              <w:rPr>
                <w:rFonts w:hint="eastAsia"/>
                <w:sz w:val="24"/>
              </w:rPr>
              <w:t>投标人自行组织对工程现场及周围环境进行踏勘。</w:t>
            </w:r>
          </w:p>
          <w:p>
            <w:pPr>
              <w:spacing w:line="380" w:lineRule="exact"/>
              <w:rPr>
                <w:sz w:val="24"/>
              </w:rPr>
            </w:pPr>
            <w:r>
              <w:rPr>
                <w:rFonts w:hint="eastAsia"/>
                <w:sz w:val="24"/>
              </w:rPr>
              <w:t>联系人：方经理，电话：1</w:t>
            </w:r>
            <w:r>
              <w:rPr>
                <w:sz w:val="24"/>
              </w:rPr>
              <w:t>8623158919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lang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12</w:t>
            </w:r>
            <w:r>
              <w:rPr>
                <w:rFonts w:hint="eastAsia" w:ascii="宋体" w:hAnsi="宋体" w:eastAsia="宋体" w:cs="宋体"/>
                <w:sz w:val="24"/>
              </w:rPr>
              <w:t>日至</w:t>
            </w:r>
            <w:r>
              <w:rPr>
                <w:rFonts w:hint="eastAsia" w:ascii="宋体" w:hAnsi="宋体" w:eastAsia="宋体" w:cs="宋体"/>
                <w:sz w:val="24"/>
                <w:lang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13</w:t>
            </w:r>
            <w:r>
              <w:rPr>
                <w:rFonts w:hint="eastAsia" w:ascii="宋体" w:hAnsi="宋体" w:eastAsia="宋体" w:cs="宋体"/>
                <w:sz w:val="24"/>
              </w:rPr>
              <w:t>日</w:t>
            </w:r>
          </w:p>
          <w:p>
            <w:pPr>
              <w:snapToGrid w:val="0"/>
              <w:spacing w:line="560" w:lineRule="exact"/>
              <w:jc w:val="left"/>
              <w:rPr>
                <w:rFonts w:ascii="宋体" w:hAnsi="宋体" w:eastAsia="宋体" w:cs="宋体"/>
                <w:sz w:val="24"/>
              </w:rPr>
            </w:pPr>
            <w:r>
              <w:rPr>
                <w:rFonts w:hint="eastAsia" w:ascii="宋体" w:hAnsi="宋体" w:eastAsia="宋体" w:cs="宋体"/>
                <w:sz w:val="24"/>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lang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14</w:t>
            </w:r>
            <w:r>
              <w:rPr>
                <w:rFonts w:hint="eastAsia" w:ascii="宋体" w:hAnsi="宋体" w:eastAsia="宋体" w:cs="宋体"/>
                <w:sz w:val="24"/>
              </w:rPr>
              <w:t>日9时00分至</w:t>
            </w:r>
            <w:r>
              <w:rPr>
                <w:rFonts w:hint="eastAsia" w:ascii="宋体" w:hAnsi="宋体" w:eastAsia="宋体" w:cs="宋体"/>
                <w:sz w:val="24"/>
                <w:lang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14</w:t>
            </w:r>
            <w:r>
              <w:rPr>
                <w:rFonts w:hint="eastAsia" w:ascii="宋体" w:hAnsi="宋体" w:eastAsia="宋体" w:cs="宋体"/>
                <w:sz w:val="24"/>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eastAsia="zh-CN"/>
              </w:rPr>
              <w:t>2021</w:t>
            </w:r>
            <w:r>
              <w:rPr>
                <w:rFonts w:hint="eastAsia" w:ascii="宋体" w:hAnsi="宋体" w:eastAsia="宋体" w:cs="宋体"/>
                <w:sz w:val="24"/>
              </w:rPr>
              <w:t>年 月 日15时00分</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rPr>
            </w:pPr>
            <w:r>
              <w:rPr>
                <w:rFonts w:hint="eastAsia" w:ascii="宋体" w:hAnsi="宋体" w:eastAsia="宋体" w:cs="宋体"/>
                <w:sz w:val="24"/>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12"/>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Theme="majorEastAsia" w:hAnsiTheme="majorEastAsia" w:eastAsiaTheme="majorEastAsia" w:cstheme="majorEastAsia"/>
                <w:sz w:val="22"/>
                <w:szCs w:val="22"/>
              </w:rPr>
              <w:t>本次要求投标人具有一定技术实力和管理能力且取得公司法人《营业执照》的企业，</w:t>
            </w:r>
            <w:r>
              <w:rPr>
                <w:rFonts w:hint="eastAsia" w:asciiTheme="majorEastAsia" w:hAnsiTheme="majorEastAsia" w:eastAsiaTheme="majorEastAsia" w:cstheme="majorEastAsia"/>
                <w:sz w:val="22"/>
                <w:szCs w:val="22"/>
                <w:lang w:eastAsia="zh-CN"/>
              </w:rPr>
              <w:t>近三年完成过类似工程（附土石方工程合同复印件）</w:t>
            </w:r>
            <w:r>
              <w:rPr>
                <w:rFonts w:hint="eastAsia" w:ascii="宋体" w:hAnsi="宋体" w:eastAsia="宋体" w:cs="宋体"/>
                <w:szCs w:val="22"/>
              </w:rPr>
              <w:t>。</w:t>
            </w:r>
            <w:r>
              <w:rPr>
                <w:rFonts w:hint="eastAsia" w:asciiTheme="majorEastAsia" w:hAnsiTheme="majorEastAsia" w:eastAsiaTheme="majorEastAsia" w:cstheme="majorEastAsia"/>
                <w:sz w:val="22"/>
                <w:szCs w:val="22"/>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3" w:name="_Toc71877701"/>
      <w:bookmarkStart w:id="4" w:name="_Toc42923333"/>
      <w:bookmarkStart w:id="5" w:name="_Toc123786822"/>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3"/>
      <w:bookmarkEnd w:id="4"/>
      <w:bookmarkEnd w:id="5"/>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6" w:name="_Toc123786824"/>
      <w:bookmarkStart w:id="7" w:name="_Toc42923335"/>
      <w:bookmarkStart w:id="8" w:name="_Toc71877703"/>
      <w:r>
        <w:rPr>
          <w:rFonts w:ascii="宋体" w:hAnsi="宋体"/>
          <w:sz w:val="28"/>
          <w:szCs w:val="28"/>
        </w:rPr>
        <w:t>1.4工程施工图纸</w:t>
      </w:r>
      <w:r>
        <w:rPr>
          <w:rFonts w:hint="eastAsia" w:ascii="宋体" w:hAnsi="宋体"/>
          <w:sz w:val="28"/>
          <w:szCs w:val="28"/>
        </w:rPr>
        <w:t>：详见该工程施工图纸。</w:t>
      </w:r>
    </w:p>
    <w:p>
      <w:pPr>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6"/>
      <w:bookmarkEnd w:id="7"/>
      <w:bookmarkEnd w:id="8"/>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9" w:name="_Toc42923337"/>
      <w:bookmarkStart w:id="10" w:name="_Toc71877705"/>
      <w:bookmarkStart w:id="11" w:name="_Toc123786826"/>
      <w:r>
        <w:rPr>
          <w:rFonts w:hint="eastAsia" w:ascii="宋体" w:hAnsi="宋体" w:eastAsia="宋体" w:cs="宋体"/>
          <w:sz w:val="28"/>
          <w:szCs w:val="28"/>
        </w:rPr>
        <w:t>3.合格的投标人</w:t>
      </w:r>
      <w:bookmarkEnd w:id="9"/>
      <w:bookmarkEnd w:id="10"/>
      <w:bookmarkEnd w:id="11"/>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12" w:name="OLE_LINK2"/>
      <w:bookmarkStart w:id="13" w:name="OLE_LINK1"/>
      <w:r>
        <w:rPr>
          <w:rFonts w:hint="eastAsia" w:ascii="宋体" w:hAnsi="宋体" w:eastAsia="宋体" w:cs="宋体"/>
          <w:bCs/>
          <w:sz w:val="28"/>
          <w:szCs w:val="28"/>
        </w:rPr>
        <w:t>中华人民共和国招采投标法</w:t>
      </w:r>
      <w:bookmarkEnd w:id="12"/>
      <w:bookmarkEnd w:id="13"/>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4" w:name="_Hlt42848260"/>
      <w:bookmarkEnd w:id="14"/>
      <w:bookmarkStart w:id="15" w:name="_Toc71877706"/>
      <w:bookmarkStart w:id="16" w:name="_Toc123786827"/>
      <w:bookmarkStart w:id="17" w:name="_Toc42923338"/>
      <w:r>
        <w:rPr>
          <w:rFonts w:hint="eastAsia" w:ascii="宋体" w:hAnsi="宋体" w:eastAsia="宋体" w:cs="宋体"/>
          <w:sz w:val="28"/>
          <w:szCs w:val="28"/>
        </w:rPr>
        <w:t>4.合格的</w:t>
      </w:r>
      <w:bookmarkEnd w:id="15"/>
      <w:bookmarkEnd w:id="16"/>
      <w:bookmarkEnd w:id="17"/>
      <w:r>
        <w:rPr>
          <w:rFonts w:hint="eastAsia" w:ascii="宋体" w:hAnsi="宋体" w:eastAsia="宋体" w:cs="宋体"/>
          <w:sz w:val="28"/>
          <w:szCs w:val="28"/>
        </w:rPr>
        <w:t>水利工程专业分包商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8" w:name="_Hlt42848264"/>
      <w:bookmarkEnd w:id="18"/>
      <w:bookmarkStart w:id="19" w:name="_Toc71877707"/>
      <w:bookmarkStart w:id="20" w:name="_Toc123786828"/>
      <w:bookmarkStart w:id="21" w:name="_Toc42923339"/>
      <w:r>
        <w:rPr>
          <w:rFonts w:hint="eastAsia" w:ascii="宋体" w:hAnsi="宋体" w:eastAsia="宋体" w:cs="宋体"/>
          <w:sz w:val="28"/>
          <w:szCs w:val="28"/>
        </w:rPr>
        <w:t>5.投标费用</w:t>
      </w:r>
      <w:bookmarkEnd w:id="19"/>
      <w:bookmarkEnd w:id="20"/>
      <w:bookmarkEnd w:id="21"/>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22"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22"/>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3" w:name="_Toc42923340"/>
      <w:bookmarkStart w:id="24" w:name="_Toc71877708"/>
      <w:bookmarkStart w:id="25" w:name="_Toc12378683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3"/>
      <w:bookmarkEnd w:id="24"/>
      <w:bookmarkEnd w:id="25"/>
    </w:p>
    <w:p>
      <w:pPr>
        <w:spacing w:line="500" w:lineRule="exact"/>
        <w:rPr>
          <w:rFonts w:ascii="宋体" w:hAnsi="宋体" w:eastAsia="宋体" w:cs="宋体"/>
          <w:sz w:val="28"/>
          <w:szCs w:val="28"/>
        </w:rPr>
      </w:pPr>
      <w:bookmarkStart w:id="26" w:name="_Toc42923341"/>
      <w:bookmarkStart w:id="27" w:name="_Toc71877709"/>
      <w:bookmarkStart w:id="28" w:name="_Toc123786831"/>
      <w:r>
        <w:rPr>
          <w:rFonts w:hint="eastAsia" w:ascii="宋体" w:hAnsi="宋体" w:eastAsia="宋体" w:cs="宋体"/>
          <w:sz w:val="28"/>
          <w:szCs w:val="28"/>
        </w:rPr>
        <w:t>7.招采文件构成</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9" w:name="_Toc123786832"/>
      <w:bookmarkStart w:id="30" w:name="_Toc42923342"/>
      <w:bookmarkStart w:id="31" w:name="_Toc71877710"/>
      <w:r>
        <w:rPr>
          <w:rFonts w:hint="eastAsia" w:ascii="宋体" w:hAnsi="宋体" w:eastAsia="宋体" w:cs="宋体"/>
          <w:sz w:val="28"/>
          <w:szCs w:val="28"/>
        </w:rPr>
        <w:t>8.招采文件的澄清</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32" w:name="_Toc123786833"/>
      <w:bookmarkStart w:id="33" w:name="_Toc71877711"/>
      <w:bookmarkStart w:id="34" w:name="_Toc42923343"/>
      <w:r>
        <w:rPr>
          <w:rFonts w:hint="eastAsia" w:ascii="宋体" w:hAnsi="宋体" w:eastAsia="宋体" w:cs="宋体"/>
          <w:sz w:val="28"/>
          <w:szCs w:val="28"/>
        </w:rPr>
        <w:t>9.招采文件的修改</w:t>
      </w:r>
      <w:bookmarkEnd w:id="32"/>
      <w:bookmarkEnd w:id="33"/>
      <w:bookmarkEnd w:id="34"/>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5" w:name="_Toc71877712"/>
      <w:bookmarkStart w:id="36" w:name="_Toc42923344"/>
      <w:bookmarkStart w:id="37" w:name="_Toc12378683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5"/>
      <w:bookmarkEnd w:id="36"/>
      <w:bookmarkEnd w:id="37"/>
    </w:p>
    <w:p>
      <w:pPr>
        <w:spacing w:line="500" w:lineRule="exact"/>
        <w:rPr>
          <w:rFonts w:ascii="宋体" w:hAnsi="宋体" w:eastAsia="宋体" w:cs="宋体"/>
          <w:sz w:val="28"/>
          <w:szCs w:val="28"/>
        </w:rPr>
      </w:pPr>
      <w:bookmarkStart w:id="38" w:name="_Toc42923345"/>
      <w:bookmarkStart w:id="39" w:name="_Toc71877713"/>
      <w:bookmarkStart w:id="40" w:name="_Toc123786835"/>
      <w:r>
        <w:rPr>
          <w:rFonts w:hint="eastAsia" w:ascii="宋体" w:hAnsi="宋体" w:eastAsia="宋体" w:cs="宋体"/>
          <w:sz w:val="28"/>
          <w:szCs w:val="28"/>
        </w:rPr>
        <w:t>10.投标的语言</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41" w:name="_Toc71877714"/>
      <w:bookmarkStart w:id="42" w:name="_Toc123786836"/>
      <w:bookmarkStart w:id="43" w:name="_Toc42923346"/>
      <w:r>
        <w:rPr>
          <w:rFonts w:hint="eastAsia" w:ascii="宋体" w:hAnsi="宋体" w:eastAsia="宋体" w:cs="宋体"/>
          <w:sz w:val="28"/>
          <w:szCs w:val="28"/>
        </w:rPr>
        <w:t>11.投标文件构成</w:t>
      </w:r>
      <w:bookmarkEnd w:id="41"/>
      <w:bookmarkEnd w:id="42"/>
      <w:bookmarkEnd w:id="43"/>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授权委托书</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营业执照（复印件加盖公章）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资质证书（复印件加盖公章）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4" w:name="_Toc123786837"/>
      <w:bookmarkStart w:id="45" w:name="_Toc42923348"/>
      <w:bookmarkStart w:id="46" w:name="_Toc71877716"/>
      <w:r>
        <w:rPr>
          <w:rFonts w:hint="eastAsia" w:ascii="宋体" w:hAnsi="宋体" w:eastAsia="宋体" w:cs="宋体"/>
          <w:sz w:val="28"/>
          <w:szCs w:val="28"/>
        </w:rPr>
        <w:t>12.投标书</w:t>
      </w:r>
      <w:bookmarkEnd w:id="44"/>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7" w:name="_Toc123786838"/>
      <w:r>
        <w:rPr>
          <w:rFonts w:hint="eastAsia" w:ascii="宋体" w:hAnsi="宋体" w:eastAsia="宋体" w:cs="宋体"/>
          <w:sz w:val="28"/>
          <w:szCs w:val="28"/>
        </w:rPr>
        <w:t>13.投标报价</w:t>
      </w:r>
      <w:bookmarkEnd w:id="45"/>
      <w:bookmarkEnd w:id="46"/>
      <w:bookmarkEnd w:id="47"/>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8" w:name="_Toc42923349"/>
      <w:bookmarkStart w:id="49" w:name="_Toc123786839"/>
      <w:bookmarkStart w:id="50" w:name="_Toc71877717"/>
      <w:r>
        <w:rPr>
          <w:rFonts w:hint="eastAsia" w:ascii="宋体" w:hAnsi="宋体" w:eastAsia="宋体" w:cs="宋体"/>
          <w:sz w:val="28"/>
          <w:szCs w:val="28"/>
        </w:rPr>
        <w:t>14.证明投标人合格的文件</w:t>
      </w:r>
      <w:bookmarkEnd w:id="48"/>
      <w:bookmarkEnd w:id="49"/>
      <w:bookmarkEnd w:id="50"/>
    </w:p>
    <w:p>
      <w:pPr>
        <w:spacing w:line="500" w:lineRule="exact"/>
        <w:rPr>
          <w:rFonts w:ascii="宋体" w:hAnsi="宋体" w:cs="宋体"/>
          <w:sz w:val="28"/>
          <w:szCs w:val="28"/>
        </w:rPr>
      </w:pPr>
      <w:bookmarkStart w:id="51" w:name="_Toc42923353"/>
      <w:bookmarkStart w:id="52" w:name="_Toc71877721"/>
      <w:bookmarkStart w:id="53" w:name="_Toc12378684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51"/>
      <w:bookmarkEnd w:id="52"/>
      <w:bookmarkEnd w:id="53"/>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4" w:name="_Toc123786844"/>
      <w:bookmarkStart w:id="55" w:name="_Toc71877722"/>
      <w:bookmarkStart w:id="56" w:name="_Toc42923354"/>
      <w:r>
        <w:rPr>
          <w:rFonts w:hint="eastAsia" w:ascii="宋体" w:hAnsi="宋体" w:eastAsia="宋体" w:cs="宋体"/>
          <w:b/>
          <w:sz w:val="28"/>
          <w:szCs w:val="28"/>
        </w:rPr>
        <w:t>四、投标文件的递交</w:t>
      </w:r>
      <w:bookmarkEnd w:id="54"/>
      <w:bookmarkEnd w:id="55"/>
      <w:bookmarkEnd w:id="56"/>
    </w:p>
    <w:p>
      <w:pPr>
        <w:spacing w:line="500" w:lineRule="exact"/>
        <w:rPr>
          <w:rFonts w:ascii="宋体" w:hAnsi="宋体" w:eastAsia="宋体" w:cs="宋体"/>
          <w:sz w:val="28"/>
          <w:szCs w:val="28"/>
        </w:rPr>
      </w:pPr>
      <w:bookmarkStart w:id="57" w:name="_Toc71877723"/>
      <w:bookmarkStart w:id="58" w:name="_Toc123786845"/>
      <w:bookmarkStart w:id="59" w:name="_Toc42923355"/>
      <w:r>
        <w:rPr>
          <w:rFonts w:hint="eastAsia" w:ascii="宋体" w:hAnsi="宋体" w:eastAsia="宋体" w:cs="宋体"/>
          <w:sz w:val="28"/>
          <w:szCs w:val="28"/>
        </w:rPr>
        <w:t>17.投标文件的密封和标记</w:t>
      </w:r>
      <w:bookmarkEnd w:id="57"/>
      <w:bookmarkEnd w:id="58"/>
      <w:bookmarkEnd w:id="59"/>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60" w:name="_Toc42923356"/>
      <w:bookmarkStart w:id="61" w:name="_Toc123786846"/>
      <w:bookmarkStart w:id="62" w:name="_Toc71877724"/>
      <w:r>
        <w:rPr>
          <w:rFonts w:hint="eastAsia" w:ascii="宋体" w:hAnsi="宋体" w:eastAsia="宋体" w:cs="宋体"/>
          <w:sz w:val="28"/>
          <w:szCs w:val="28"/>
        </w:rPr>
        <w:t>18.</w:t>
      </w:r>
      <w:bookmarkEnd w:id="60"/>
      <w:bookmarkEnd w:id="61"/>
      <w:bookmarkEnd w:id="62"/>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3" w:name="_Toc42923357"/>
      <w:bookmarkStart w:id="64" w:name="_Toc71877725"/>
      <w:bookmarkStart w:id="65" w:name="_Toc123786847"/>
      <w:r>
        <w:rPr>
          <w:rFonts w:hint="eastAsia" w:ascii="宋体" w:hAnsi="宋体" w:eastAsia="宋体" w:cs="宋体"/>
          <w:sz w:val="28"/>
          <w:szCs w:val="28"/>
        </w:rPr>
        <w:t>19.迟交的投标文件</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6" w:name="_Toc71877726"/>
      <w:bookmarkStart w:id="67" w:name="_Toc123786848"/>
      <w:bookmarkStart w:id="68" w:name="_Toc42923358"/>
      <w:r>
        <w:rPr>
          <w:rFonts w:hint="eastAsia" w:ascii="宋体" w:hAnsi="宋体" w:eastAsia="宋体" w:cs="宋体"/>
          <w:sz w:val="28"/>
          <w:szCs w:val="28"/>
        </w:rPr>
        <w:t>20.投标文件的修改与撤回</w:t>
      </w:r>
      <w:bookmarkEnd w:id="66"/>
      <w:bookmarkEnd w:id="67"/>
      <w:bookmarkEnd w:id="68"/>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9" w:name="_Toc71877727"/>
      <w:bookmarkStart w:id="70" w:name="_Toc123786849"/>
      <w:bookmarkStart w:id="71" w:name="_Toc42923359"/>
      <w:r>
        <w:rPr>
          <w:rFonts w:hint="eastAsia" w:ascii="宋体" w:hAnsi="宋体" w:eastAsia="宋体" w:cs="宋体"/>
          <w:b/>
          <w:sz w:val="28"/>
          <w:szCs w:val="28"/>
        </w:rPr>
        <w:t>五、开标与</w:t>
      </w:r>
      <w:bookmarkEnd w:id="69"/>
      <w:bookmarkEnd w:id="70"/>
      <w:bookmarkEnd w:id="71"/>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72" w:name="_Toc42923360"/>
      <w:bookmarkStart w:id="73" w:name="_Toc71877728"/>
      <w:bookmarkStart w:id="74" w:name="_Toc123786850"/>
      <w:r>
        <w:rPr>
          <w:rFonts w:hint="eastAsia" w:ascii="宋体" w:hAnsi="宋体" w:eastAsia="宋体" w:cs="宋体"/>
          <w:sz w:val="28"/>
          <w:szCs w:val="28"/>
        </w:rPr>
        <w:t>21.开标</w:t>
      </w:r>
      <w:bookmarkEnd w:id="72"/>
      <w:bookmarkEnd w:id="73"/>
      <w:r>
        <w:rPr>
          <w:rFonts w:hint="eastAsia" w:ascii="宋体" w:hAnsi="宋体" w:eastAsia="宋体" w:cs="宋体"/>
          <w:sz w:val="28"/>
          <w:szCs w:val="28"/>
        </w:rPr>
        <w:t>一般规定</w:t>
      </w:r>
      <w:bookmarkEnd w:id="74"/>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5" w:name="_Toc42923361"/>
      <w:bookmarkStart w:id="76" w:name="_Toc71877729"/>
      <w:bookmarkStart w:id="77" w:name="_Toc123786851"/>
      <w:r>
        <w:rPr>
          <w:rFonts w:hint="eastAsia" w:ascii="宋体" w:hAnsi="宋体" w:eastAsia="宋体" w:cs="宋体"/>
          <w:sz w:val="28"/>
          <w:szCs w:val="28"/>
        </w:rPr>
        <w:t>22.</w:t>
      </w:r>
      <w:bookmarkEnd w:id="75"/>
      <w:bookmarkEnd w:id="76"/>
      <w:r>
        <w:rPr>
          <w:rFonts w:hint="eastAsia" w:ascii="宋体" w:hAnsi="宋体" w:eastAsia="宋体" w:cs="宋体"/>
          <w:sz w:val="28"/>
          <w:szCs w:val="28"/>
        </w:rPr>
        <w:t>符合性</w:t>
      </w:r>
      <w:bookmarkEnd w:id="77"/>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8" w:name="_Toc123786852"/>
      <w:bookmarkStart w:id="79" w:name="_Toc71877730"/>
      <w:bookmarkStart w:id="80" w:name="_Toc42923362"/>
      <w:r>
        <w:rPr>
          <w:rFonts w:hint="eastAsia" w:ascii="宋体" w:hAnsi="宋体" w:eastAsia="宋体" w:cs="宋体"/>
          <w:sz w:val="28"/>
          <w:szCs w:val="28"/>
        </w:rPr>
        <w:t>23.投标文件的澄清</w:t>
      </w:r>
      <w:bookmarkEnd w:id="78"/>
      <w:bookmarkEnd w:id="79"/>
      <w:bookmarkEnd w:id="80"/>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81" w:name="_Toc71877731"/>
      <w:bookmarkStart w:id="82" w:name="_Toc42923363"/>
      <w:bookmarkStart w:id="83" w:name="_Toc123786853"/>
      <w:r>
        <w:rPr>
          <w:rFonts w:hint="eastAsia" w:ascii="宋体" w:hAnsi="宋体" w:eastAsia="宋体" w:cs="宋体"/>
          <w:sz w:val="28"/>
          <w:szCs w:val="28"/>
        </w:rPr>
        <w:t>24.</w:t>
      </w:r>
      <w:bookmarkEnd w:id="81"/>
      <w:bookmarkEnd w:id="82"/>
      <w:r>
        <w:rPr>
          <w:rFonts w:hint="eastAsia" w:ascii="宋体" w:hAnsi="宋体" w:eastAsia="宋体" w:cs="宋体"/>
          <w:sz w:val="28"/>
          <w:szCs w:val="28"/>
        </w:rPr>
        <w:t>开标程序</w:t>
      </w:r>
      <w:bookmarkEnd w:id="83"/>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4" w:name="_Toc123786854"/>
      <w:r>
        <w:rPr>
          <w:rFonts w:hint="eastAsia" w:ascii="宋体" w:hAnsi="宋体" w:eastAsia="宋体" w:cs="宋体"/>
          <w:sz w:val="28"/>
          <w:szCs w:val="28"/>
        </w:rPr>
        <w:t>25.评审一般规定</w:t>
      </w:r>
      <w:bookmarkEnd w:id="84"/>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w:t>
      </w:r>
      <w:r>
        <w:rPr>
          <w:rFonts w:hint="eastAsia" w:ascii="Times New Roman" w:hAnsi="Times New Roman" w:eastAsia="宋体" w:cs="Times New Roman"/>
          <w:sz w:val="28"/>
          <w:szCs w:val="28"/>
          <w:lang w:eastAsia="zh-CN"/>
        </w:rPr>
        <w:t>风控（合规）部</w:t>
      </w:r>
      <w:r>
        <w:rPr>
          <w:rFonts w:hint="eastAsia" w:ascii="Times New Roman" w:hAnsi="Times New Roman" w:cs="Times New Roman"/>
          <w:sz w:val="28"/>
          <w:szCs w:val="28"/>
        </w:rPr>
        <w:t>、法律事务部、分公司（项目部）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5" w:name="_Toc123786855"/>
      <w:r>
        <w:rPr>
          <w:rFonts w:hint="eastAsia" w:ascii="宋体" w:hAnsi="宋体" w:eastAsia="宋体" w:cs="宋体"/>
          <w:sz w:val="28"/>
          <w:szCs w:val="28"/>
        </w:rPr>
        <w:t>26.详细评审办法</w:t>
      </w:r>
      <w:bookmarkEnd w:id="85"/>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6" w:name="_Toc42923368"/>
      <w:bookmarkStart w:id="87" w:name="_Toc71877735"/>
      <w:bookmarkStart w:id="88" w:name="_Toc123786857"/>
      <w:r>
        <w:rPr>
          <w:rFonts w:hint="eastAsia" w:ascii="宋体" w:hAnsi="宋体" w:eastAsia="宋体" w:cs="宋体"/>
          <w:b/>
          <w:sz w:val="28"/>
          <w:szCs w:val="28"/>
        </w:rPr>
        <w:t>六、</w:t>
      </w:r>
      <w:bookmarkEnd w:id="86"/>
      <w:bookmarkEnd w:id="87"/>
      <w:bookmarkEnd w:id="88"/>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9" w:name="_Toc123786859"/>
      <w:bookmarkStart w:id="90" w:name="_Toc42923372"/>
      <w:bookmarkStart w:id="91" w:name="_Toc71877740"/>
      <w:bookmarkStart w:id="92" w:name="_Toc458262635"/>
      <w:bookmarkStart w:id="93" w:name="_Toc467236763"/>
      <w:bookmarkStart w:id="94" w:name="_Toc479991605"/>
      <w:bookmarkStart w:id="95" w:name="_Toc480020280"/>
      <w:bookmarkStart w:id="96" w:name="_Toc491658674"/>
      <w:bookmarkStart w:id="97" w:name="_Toc480010731"/>
      <w:bookmarkStart w:id="98" w:name="_Toc467987846"/>
      <w:bookmarkStart w:id="99" w:name="_Toc454701402"/>
      <w:bookmarkStart w:id="100" w:name="_Toc468157559"/>
      <w:bookmarkStart w:id="101" w:name="_Toc480021076"/>
      <w:bookmarkStart w:id="102" w:name="_Toc500861020"/>
      <w:bookmarkStart w:id="103" w:name="_Toc468606052"/>
      <w:bookmarkStart w:id="104" w:name="_Toc32977091"/>
      <w:r>
        <w:rPr>
          <w:rFonts w:hint="eastAsia" w:ascii="宋体" w:hAnsi="宋体" w:eastAsia="宋体" w:cs="宋体"/>
          <w:sz w:val="28"/>
          <w:szCs w:val="28"/>
        </w:rPr>
        <w:t>28.中选通知书</w:t>
      </w:r>
      <w:bookmarkEnd w:id="89"/>
      <w:bookmarkEnd w:id="90"/>
      <w:bookmarkEnd w:id="91"/>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5" w:name="_Toc123786860"/>
      <w:bookmarkStart w:id="106" w:name="_Toc71877741"/>
      <w:bookmarkStart w:id="107" w:name="_Toc42923373"/>
      <w:r>
        <w:rPr>
          <w:rFonts w:hint="eastAsia" w:ascii="宋体" w:hAnsi="宋体" w:eastAsia="宋体" w:cs="宋体"/>
          <w:sz w:val="28"/>
          <w:szCs w:val="28"/>
        </w:rPr>
        <w:t>29.项目设计方案的优化</w:t>
      </w:r>
      <w:bookmarkEnd w:id="105"/>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8" w:name="_Toc123786861"/>
      <w:r>
        <w:rPr>
          <w:rFonts w:hint="eastAsia" w:ascii="宋体" w:hAnsi="宋体" w:eastAsia="宋体" w:cs="宋体"/>
          <w:sz w:val="28"/>
          <w:szCs w:val="28"/>
        </w:rPr>
        <w:t>30.签订合同</w:t>
      </w:r>
      <w:bookmarkEnd w:id="92"/>
      <w:bookmarkEnd w:id="93"/>
      <w:bookmarkEnd w:id="94"/>
      <w:bookmarkEnd w:id="95"/>
      <w:bookmarkEnd w:id="96"/>
      <w:bookmarkEnd w:id="97"/>
      <w:bookmarkEnd w:id="98"/>
      <w:bookmarkEnd w:id="99"/>
      <w:bookmarkEnd w:id="100"/>
      <w:bookmarkEnd w:id="101"/>
      <w:bookmarkEnd w:id="102"/>
      <w:bookmarkEnd w:id="103"/>
      <w:bookmarkEnd w:id="104"/>
      <w:bookmarkEnd w:id="106"/>
      <w:bookmarkEnd w:id="107"/>
      <w:bookmarkEnd w:id="108"/>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jc w:val="left"/>
        <w:rPr>
          <w:rFonts w:ascii="仿宋_GB2312" w:hAnsi="宋体" w:eastAsia="仿宋_GB2312"/>
          <w:sz w:val="36"/>
          <w:szCs w:val="36"/>
        </w:rPr>
      </w:pPr>
      <w:r>
        <w:rPr>
          <w:rFonts w:ascii="Calibri" w:hAnsi="Calibri" w:eastAsia="宋体" w:cs="Times New Roman"/>
          <w:b/>
          <w:sz w:val="28"/>
          <w:szCs w:val="28"/>
        </w:rPr>
        <w:br w:type="page"/>
      </w: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rPr>
        <w:t>（填：项目名称）</w:t>
      </w:r>
      <w:r>
        <w:rPr>
          <w:rFonts w:hint="eastAsia" w:ascii="仿宋_GB2312" w:hAnsi="宋体" w:eastAsia="仿宋_GB2312"/>
          <w:bCs/>
          <w:sz w:val="36"/>
          <w:szCs w:val="36"/>
          <w:u w:val="single"/>
        </w:rPr>
        <w:t>项目</w:t>
      </w:r>
    </w:p>
    <w:p>
      <w:pPr>
        <w:tabs>
          <w:tab w:val="left" w:pos="670"/>
          <w:tab w:val="center" w:pos="4252"/>
        </w:tabs>
        <w:rPr>
          <w:rFonts w:ascii="黑体" w:eastAsia="黑体"/>
          <w:b/>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8"/>
          <w:rFonts w:hint="eastAsia" w:ascii="Times New Roman" w:hAnsi="Times New Roman" w:eastAsia="宋体"/>
          <w:color w:val="632423"/>
          <w:u w:val="single"/>
        </w:rPr>
        <w:t>样例；拟写合同时请按实际</w:t>
      </w:r>
      <w:r>
        <w:rPr>
          <w:rStyle w:val="18"/>
          <w:rFonts w:hint="eastAsia" w:ascii="Times New Roman" w:hAnsi="Times New Roman"/>
          <w:color w:val="632423"/>
          <w:u w:val="single"/>
        </w:rPr>
        <w:t>专业分包内容</w:t>
      </w:r>
      <w:r>
        <w:rPr>
          <w:rStyle w:val="18"/>
          <w:rFonts w:hint="eastAsia" w:ascii="Times New Roman" w:hAnsi="Times New Roman" w:eastAsia="宋体"/>
          <w:color w:val="632423"/>
          <w:u w:val="single"/>
        </w:rPr>
        <w:t>填写</w:t>
      </w:r>
      <w:r>
        <w:rPr>
          <w:rStyle w:val="18"/>
          <w:rFonts w:hint="eastAsia" w:ascii="Times New Roman" w:hAnsi="Times New Roman"/>
          <w:color w:val="632423"/>
          <w:u w:val="single"/>
        </w:rPr>
        <w:t>且同类合同相互区分</w:t>
      </w:r>
      <w:r>
        <w:rPr>
          <w:rStyle w:val="18"/>
          <w:rFonts w:hint="eastAsia" w:ascii="Times New Roman" w:hAnsi="Times New Roman" w:eastAsia="宋体"/>
          <w:color w:val="632423"/>
          <w:u w:val="single"/>
        </w:rPr>
        <w:t>，并删去提示词，下同</w:t>
      </w: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spacing w:line="0" w:lineRule="atLeast"/>
        <w:ind w:left="1" w:hanging="1"/>
        <w:jc w:val="left"/>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single"/>
        </w:rPr>
        <w:t xml:space="preserve">                  </w:t>
      </w:r>
    </w:p>
    <w:p>
      <w:pPr>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2、乙方委派的担任驻工地履行本合同的项目经理为：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（乙方须另行向甲方出具法人授权委托书予以确认）； 项目</w:t>
      </w:r>
      <w:r>
        <w:rPr>
          <w:rFonts w:eastAsia="仿宋_GB2312"/>
          <w:sz w:val="28"/>
          <w:szCs w:val="28"/>
        </w:rPr>
        <w:t>技术负责人：</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质量员</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安全员</w:t>
      </w:r>
      <w:r>
        <w:rPr>
          <w:rFonts w:hint="eastAsia" w:eastAsia="仿宋_GB2312"/>
          <w:sz w:val="28"/>
          <w:szCs w:val="28"/>
          <w:u w:val="single"/>
        </w:rPr>
        <w:t xml:space="preserve">          </w:t>
      </w:r>
      <w:r>
        <w:rPr>
          <w:rFonts w:hint="eastAsia" w:eastAsia="仿宋_GB2312"/>
          <w:sz w:val="28"/>
          <w:szCs w:val="28"/>
        </w:rPr>
        <w:t xml:space="preserve"> ，</w:t>
      </w:r>
      <w:r>
        <w:rPr>
          <w:rFonts w:eastAsia="仿宋_GB2312"/>
          <w:sz w:val="28"/>
          <w:szCs w:val="28"/>
        </w:rPr>
        <w:t>以上人员乙方未经甲方同意不得擅自</w:t>
      </w:r>
      <w:r>
        <w:rPr>
          <w:rFonts w:hint="eastAsia" w:eastAsia="仿宋_GB2312"/>
          <w:sz w:val="28"/>
          <w:szCs w:val="28"/>
        </w:rPr>
        <w:t>变更</w:t>
      </w:r>
      <w:r>
        <w:rPr>
          <w:rFonts w:eastAsia="仿宋_GB2312"/>
          <w:sz w:val="28"/>
          <w:szCs w:val="28"/>
        </w:rPr>
        <w:t>，否则按每更换</w:t>
      </w:r>
      <w:r>
        <w:rPr>
          <w:rFonts w:hint="eastAsia" w:eastAsia="仿宋_GB2312"/>
          <w:sz w:val="28"/>
          <w:szCs w:val="28"/>
        </w:rPr>
        <w:t>1人</w:t>
      </w:r>
      <w:r>
        <w:rPr>
          <w:rFonts w:eastAsia="仿宋_GB2312"/>
          <w:sz w:val="28"/>
          <w:szCs w:val="28"/>
        </w:rPr>
        <w:t>罚款</w:t>
      </w:r>
      <w:r>
        <w:rPr>
          <w:rFonts w:hint="eastAsia" w:eastAsia="仿宋_GB2312"/>
          <w:sz w:val="28"/>
          <w:szCs w:val="28"/>
          <w:u w:val="single"/>
        </w:rPr>
        <w:t>10000元</w:t>
      </w:r>
      <w:r>
        <w:rPr>
          <w:rFonts w:eastAsia="仿宋_GB2312"/>
          <w:sz w:val="28"/>
          <w:szCs w:val="28"/>
        </w:rPr>
        <w:t>处理。</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Style w:val="18"/>
          <w:rFonts w:hint="eastAsia" w:ascii="Times New Roman" w:hAnsi="Times New Roman" w:eastAsia="宋体"/>
          <w:u w:val="single"/>
        </w:rPr>
        <w:t>｛律师批注：如果工程所在地不在重庆市的，需要符合当地的质量验收标准。下同。</w:t>
      </w:r>
      <w:r>
        <w:rPr>
          <w:rStyle w:val="18"/>
          <w:rFonts w:hint="eastAsia"/>
          <w:u w:val="single"/>
        </w:rPr>
        <w:t>｝</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eastAsia="仿宋_GB2312"/>
          <w:sz w:val="28"/>
          <w:szCs w:val="28"/>
        </w:rPr>
      </w:pPr>
      <w:r>
        <w:rPr>
          <w:rFonts w:hint="eastAsia" w:eastAsia="仿宋_GB2312"/>
          <w:sz w:val="28"/>
          <w:szCs w:val="28"/>
        </w:rPr>
        <w:t>（1）</w:t>
      </w:r>
      <w:r>
        <w:rPr>
          <w:rFonts w:eastAsia="仿宋_GB2312"/>
          <w:sz w:val="28"/>
          <w:szCs w:val="28"/>
        </w:rPr>
        <w:t>本合同综合</w:t>
      </w:r>
      <w:r>
        <w:rPr>
          <w:rFonts w:hint="eastAsia" w:eastAsia="仿宋_GB2312"/>
          <w:sz w:val="28"/>
          <w:szCs w:val="28"/>
        </w:rPr>
        <w:t>单价</w:t>
      </w:r>
      <w:r>
        <w:rPr>
          <w:rFonts w:eastAsia="仿宋_GB2312"/>
          <w:sz w:val="28"/>
          <w:szCs w:val="28"/>
        </w:rPr>
        <w:t>为中标价，综合</w:t>
      </w:r>
      <w:r>
        <w:rPr>
          <w:rFonts w:hint="eastAsia" w:eastAsia="仿宋_GB2312"/>
          <w:sz w:val="28"/>
          <w:szCs w:val="28"/>
        </w:rPr>
        <w:t>单价包括</w:t>
      </w:r>
      <w:r>
        <w:rPr>
          <w:rFonts w:eastAsia="仿宋_GB2312"/>
          <w:sz w:val="28"/>
          <w:szCs w:val="28"/>
        </w:rPr>
        <w:t>直接费（含人工费、材料费、机械费</w:t>
      </w:r>
      <w:r>
        <w:rPr>
          <w:rFonts w:hint="eastAsia" w:eastAsia="仿宋_GB2312"/>
          <w:sz w:val="28"/>
          <w:szCs w:val="28"/>
        </w:rPr>
        <w:t>等</w:t>
      </w:r>
      <w:r>
        <w:rPr>
          <w:rFonts w:eastAsia="仿宋_GB2312"/>
          <w:sz w:val="28"/>
          <w:szCs w:val="28"/>
        </w:rPr>
        <w:t>）、其</w:t>
      </w:r>
      <w:r>
        <w:rPr>
          <w:rFonts w:hint="eastAsia" w:eastAsia="仿宋_GB2312"/>
          <w:sz w:val="28"/>
          <w:szCs w:val="28"/>
        </w:rPr>
        <w:t>他</w:t>
      </w:r>
      <w:r>
        <w:rPr>
          <w:rFonts w:eastAsia="仿宋_GB2312"/>
          <w:sz w:val="28"/>
          <w:szCs w:val="28"/>
        </w:rPr>
        <w:t>直接费、现场管理费、企业管理费、财务费用、劳务保险费、施工组织及技术措施费、安全文明施工费、现有设施成品保护费</w:t>
      </w:r>
      <w:r>
        <w:rPr>
          <w:rFonts w:hint="eastAsia" w:eastAsia="仿宋_GB2312"/>
          <w:sz w:val="28"/>
          <w:szCs w:val="28"/>
        </w:rPr>
        <w:t>、</w:t>
      </w:r>
      <w:r>
        <w:rPr>
          <w:rFonts w:eastAsia="仿宋_GB2312"/>
          <w:sz w:val="28"/>
          <w:szCs w:val="28"/>
        </w:rPr>
        <w:t>材料（含甲供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见的风险（如建设合同工期内包括人工、材料、</w:t>
      </w:r>
      <w:r>
        <w:rPr>
          <w:rFonts w:hint="eastAsia" w:eastAsia="仿宋_GB2312"/>
          <w:sz w:val="28"/>
          <w:szCs w:val="28"/>
        </w:rPr>
        <w:t>机械等</w:t>
      </w:r>
      <w:r>
        <w:rPr>
          <w:rFonts w:eastAsia="仿宋_GB2312"/>
          <w:sz w:val="28"/>
          <w:szCs w:val="28"/>
        </w:rPr>
        <w:t>物价涨落的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完成）等。综合</w:t>
      </w:r>
      <w:r>
        <w:rPr>
          <w:rFonts w:hint="eastAsia" w:eastAsia="仿宋_GB2312"/>
          <w:sz w:val="28"/>
          <w:szCs w:val="28"/>
        </w:rPr>
        <w:t>单价</w:t>
      </w:r>
      <w:r>
        <w:rPr>
          <w:rFonts w:eastAsia="仿宋_GB2312"/>
          <w:sz w:val="28"/>
          <w:szCs w:val="28"/>
        </w:rPr>
        <w:t>不论现场情况怎么变</w:t>
      </w:r>
      <w:r>
        <w:rPr>
          <w:rFonts w:hint="eastAsia" w:eastAsia="仿宋_GB2312"/>
          <w:sz w:val="28"/>
          <w:szCs w:val="28"/>
        </w:rPr>
        <w:t>化</w:t>
      </w:r>
      <w:r>
        <w:rPr>
          <w:rFonts w:eastAsia="仿宋_GB2312"/>
          <w:sz w:val="28"/>
          <w:szCs w:val="28"/>
        </w:rPr>
        <w:t>，单价固定不变。</w:t>
      </w:r>
    </w:p>
    <w:p>
      <w:pPr>
        <w:spacing w:line="440" w:lineRule="exact"/>
        <w:ind w:right="-25" w:firstLine="630" w:firstLineChars="225"/>
        <w:rPr>
          <w:rFonts w:eastAsia="仿宋_GB2312"/>
          <w:sz w:val="28"/>
          <w:szCs w:val="28"/>
        </w:rPr>
      </w:pPr>
      <w:r>
        <w:rPr>
          <w:rFonts w:hint="eastAsia" w:eastAsia="仿宋_GB2312"/>
          <w:sz w:val="28"/>
          <w:szCs w:val="28"/>
        </w:rPr>
        <w:t>（2）</w:t>
      </w:r>
      <w:r>
        <w:rPr>
          <w:rFonts w:eastAsia="仿宋_GB2312"/>
          <w:sz w:val="28"/>
          <w:szCs w:val="28"/>
        </w:rPr>
        <w:t>本合同清单价格在工程施工及竣工周期中，不予以调整。</w:t>
      </w:r>
    </w:p>
    <w:p>
      <w:pPr>
        <w:spacing w:line="440" w:lineRule="exact"/>
        <w:ind w:right="-25" w:firstLine="630" w:firstLineChars="225"/>
        <w:rPr>
          <w:rFonts w:eastAsia="仿宋_GB2312"/>
          <w:sz w:val="28"/>
          <w:szCs w:val="28"/>
        </w:rPr>
      </w:pPr>
      <w:r>
        <w:rPr>
          <w:rFonts w:hint="eastAsia" w:eastAsia="仿宋_GB2312"/>
          <w:sz w:val="28"/>
          <w:szCs w:val="28"/>
        </w:rPr>
        <w:t>（3）</w:t>
      </w:r>
      <w:r>
        <w:rPr>
          <w:rFonts w:eastAsia="仿宋_GB2312"/>
          <w:sz w:val="28"/>
          <w:szCs w:val="28"/>
        </w:rPr>
        <w:t>本合同</w:t>
      </w:r>
      <w:r>
        <w:rPr>
          <w:rFonts w:hint="eastAsia" w:eastAsia="仿宋_GB2312"/>
          <w:sz w:val="28"/>
          <w:szCs w:val="28"/>
        </w:rPr>
        <w:t>价</w:t>
      </w:r>
      <w:r>
        <w:rPr>
          <w:rFonts w:eastAsia="仿宋_GB2312"/>
          <w:sz w:val="28"/>
          <w:szCs w:val="28"/>
        </w:rPr>
        <w:t>款采用固定单价合同（含税），以中标的工程总报价作</w:t>
      </w:r>
      <w:r>
        <w:rPr>
          <w:rFonts w:hint="eastAsia" w:eastAsia="仿宋_GB2312"/>
          <w:sz w:val="28"/>
          <w:szCs w:val="28"/>
        </w:rPr>
        <w:t>为</w:t>
      </w:r>
      <w:r>
        <w:rPr>
          <w:rFonts w:eastAsia="仿宋_GB2312"/>
          <w:sz w:val="28"/>
          <w:szCs w:val="28"/>
        </w:rPr>
        <w:t>暂定的合同总价，其最终合同价款为工程量清单结算价。</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      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rPr>
      </w:pPr>
      <w:r>
        <w:rPr>
          <w:rFonts w:hint="eastAsia" w:eastAsia="仿宋_GB2312"/>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rPr>
        <w:t>1、本工程乙方必须按总包合同有关质量约定按照国家和地方政府颁布现行的</w:t>
      </w:r>
      <w:r>
        <w:rPr>
          <w:rFonts w:hint="eastAsia" w:eastAsia="仿宋_GB2312"/>
          <w:sz w:val="28"/>
          <w:szCs w:val="28"/>
          <w:u w:val="single"/>
        </w:rPr>
        <w:t>《建筑安装工程施工及验收规范》、《建筑安装工程质量评定标准》____________________</w:t>
      </w:r>
      <w:r>
        <w:rPr>
          <w:rFonts w:hint="eastAsia" w:eastAsia="方正楷体_GBK"/>
          <w:iCs/>
          <w:sz w:val="28"/>
          <w:szCs w:val="28"/>
          <w:u w:val="single"/>
        </w:rPr>
        <w:t>{提示：公路、市政项目对应填入标准名称}</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sz w:val="28"/>
          <w:szCs w:val="28"/>
        </w:rPr>
      </w:pPr>
      <w:r>
        <w:rPr>
          <w:rFonts w:hint="eastAsia" w:eastAsia="仿宋_GB2312"/>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sz w:val="28"/>
          <w:szCs w:val="28"/>
        </w:rPr>
      </w:pPr>
      <w:r>
        <w:rPr>
          <w:rFonts w:hint="eastAsia" w:eastAsia="仿宋_GB2312"/>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sz w:val="28"/>
          <w:szCs w:val="28"/>
        </w:rPr>
      </w:pPr>
      <w:r>
        <w:rPr>
          <w:rFonts w:hint="eastAsia" w:eastAsia="仿宋_GB2312"/>
          <w:sz w:val="28"/>
          <w:szCs w:val="28"/>
        </w:rPr>
        <w:t>5、其他质量管理办法按照《重庆对外建设(集团)有限公司关于&lt;工程质量管理办法&gt;的通知》(</w:t>
      </w:r>
      <w:r>
        <w:rPr>
          <w:rFonts w:eastAsia="仿宋_GB2312"/>
          <w:sz w:val="28"/>
          <w:szCs w:val="28"/>
        </w:rPr>
        <w:t>渝外建发〔2015〕136号</w:t>
      </w:r>
      <w:r>
        <w:rPr>
          <w:rFonts w:hint="eastAsia" w:eastAsia="仿宋_GB2312"/>
          <w:sz w:val="28"/>
          <w:szCs w:val="28"/>
        </w:rPr>
        <w:t>)、《重庆对外建设(集团)有限公司 工程质量监督检查管理办法（试行）》（渝外建发〔</w:t>
      </w:r>
      <w:r>
        <w:rPr>
          <w:rFonts w:hint="eastAsia" w:eastAsia="仿宋_GB2312"/>
          <w:sz w:val="28"/>
          <w:szCs w:val="28"/>
          <w:lang w:eastAsia="zh-CN"/>
        </w:rPr>
        <w:t>2021</w:t>
      </w:r>
      <w:r>
        <w:rPr>
          <w:rFonts w:hint="eastAsia" w:eastAsia="仿宋_GB2312"/>
          <w:sz w:val="28"/>
          <w:szCs w:val="28"/>
        </w:rPr>
        <w:t>〕69号）等制度执行。</w:t>
      </w:r>
    </w:p>
    <w:p>
      <w:pPr>
        <w:spacing w:line="440" w:lineRule="exact"/>
        <w:ind w:firstLine="630" w:firstLineChars="225"/>
        <w:jc w:val="left"/>
        <w:rPr>
          <w:rFonts w:eastAsia="仿宋_GB2312"/>
          <w:sz w:val="28"/>
          <w:szCs w:val="28"/>
        </w:rPr>
      </w:pPr>
      <w:r>
        <w:rPr>
          <w:rFonts w:hint="eastAsia" w:eastAsia="仿宋_GB2312"/>
          <w:sz w:val="28"/>
          <w:szCs w:val="28"/>
        </w:rPr>
        <w:t>6、控制质量的其他措施约定</w:t>
      </w:r>
      <w:r>
        <w:rPr>
          <w:rFonts w:hint="eastAsia" w:eastAsia="仿宋_GB2312"/>
          <w:sz w:val="28"/>
          <w:szCs w:val="28"/>
          <w:u w:val="single"/>
        </w:rPr>
        <w:t xml:space="preserve">：                           </w:t>
      </w:r>
      <w:r>
        <w:rPr>
          <w:rFonts w:hint="eastAsia" w:eastAsia="仿宋_GB2312"/>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60%：30</w:t>
      </w:r>
      <w:r>
        <w:rPr>
          <w:rFonts w:eastAsia="仿宋_GB2312"/>
          <w:sz w:val="28"/>
          <w:szCs w:val="28"/>
        </w:rPr>
        <w:t>%</w:t>
      </w:r>
      <w:r>
        <w:rPr>
          <w:rFonts w:hint="eastAsia" w:eastAsia="仿宋_GB2312"/>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sz w:val="28"/>
          <w:szCs w:val="28"/>
        </w:rPr>
      </w:pPr>
      <w:r>
        <w:rPr>
          <w:rFonts w:hint="eastAsia" w:eastAsia="仿宋_GB2312"/>
          <w:sz w:val="28"/>
          <w:szCs w:val="28"/>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48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rPr>
        <w:t>（b.）在现场（非操作面）提供总包方其它分包商施工所需的动力、调试及照明电源。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rPr>
        <w:t>（c.）在现场（非操作面）提供总包方其它分包商足够的水源及调试用水。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rPr>
        <w:t>（d.）负责将现场总包方及其它分包商的垃圾堆放到甲方指定地点并配合甲方装车。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rPr>
        <w:t>（e.）提供现场的外脚手架防护和公共走道防护，防护标准符合总包方及重庆市的有关规定。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eastAsia="仿宋_GB2312"/>
          <w:sz w:val="28"/>
          <w:szCs w:val="28"/>
        </w:rPr>
      </w:pPr>
      <w:r>
        <w:rPr>
          <w:rFonts w:hint="eastAsia" w:eastAsia="仿宋_GB2312"/>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eastAsia="仿宋_GB2312"/>
          <w:sz w:val="28"/>
          <w:szCs w:val="28"/>
        </w:rPr>
      </w:pPr>
      <w:r>
        <w:rPr>
          <w:rFonts w:hint="eastAsia" w:eastAsia="仿宋_GB2312"/>
          <w:sz w:val="28"/>
          <w:szCs w:val="28"/>
        </w:rPr>
        <w:t>23、乙方承诺、保证并同意：</w:t>
      </w:r>
    </w:p>
    <w:p>
      <w:pPr>
        <w:spacing w:line="440" w:lineRule="exact"/>
        <w:ind w:right="-25" w:firstLine="630" w:firstLineChars="225"/>
        <w:rPr>
          <w:rFonts w:eastAsia="仿宋_GB2312"/>
          <w:sz w:val="28"/>
          <w:szCs w:val="28"/>
        </w:rPr>
      </w:pPr>
      <w:r>
        <w:rPr>
          <w:rFonts w:hint="eastAsia" w:eastAsia="仿宋_GB2312"/>
          <w:sz w:val="28"/>
          <w:szCs w:val="28"/>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eastAsia="仿宋_GB2312"/>
          <w:sz w:val="28"/>
          <w:szCs w:val="28"/>
        </w:rPr>
      </w:pPr>
      <w:r>
        <w:rPr>
          <w:rFonts w:hint="eastAsia" w:eastAsia="仿宋_GB2312"/>
          <w:sz w:val="28"/>
          <w:szCs w:val="28"/>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eastAsia="仿宋_GB2312"/>
          <w:sz w:val="28"/>
          <w:szCs w:val="28"/>
        </w:rPr>
      </w:pPr>
      <w:r>
        <w:rPr>
          <w:rFonts w:hint="eastAsia" w:eastAsia="仿宋_GB2312"/>
          <w:sz w:val="28"/>
          <w:szCs w:val="28"/>
        </w:rPr>
        <w:t>①政府的官员、员工和代表，以及代表政府行事的其他人员（或其他被授权行使公权力的人员）；</w:t>
      </w:r>
    </w:p>
    <w:p>
      <w:pPr>
        <w:spacing w:line="440" w:lineRule="exact"/>
        <w:ind w:right="-25" w:firstLine="630" w:firstLineChars="225"/>
        <w:rPr>
          <w:rFonts w:eastAsia="仿宋_GB2312"/>
          <w:sz w:val="28"/>
          <w:szCs w:val="28"/>
        </w:rPr>
      </w:pPr>
      <w:r>
        <w:rPr>
          <w:rFonts w:hint="eastAsia" w:eastAsia="仿宋_GB2312"/>
          <w:sz w:val="28"/>
          <w:szCs w:val="28"/>
        </w:rPr>
        <w:t>②国际组织的领导、官员和代表；</w:t>
      </w:r>
    </w:p>
    <w:p>
      <w:pPr>
        <w:spacing w:line="440" w:lineRule="exact"/>
        <w:ind w:right="-25" w:firstLine="630" w:firstLineChars="225"/>
        <w:rPr>
          <w:rFonts w:eastAsia="仿宋_GB2312"/>
          <w:sz w:val="28"/>
          <w:szCs w:val="28"/>
        </w:rPr>
      </w:pPr>
      <w:r>
        <w:rPr>
          <w:rFonts w:hint="eastAsia" w:eastAsia="仿宋_GB2312"/>
          <w:sz w:val="28"/>
          <w:szCs w:val="28"/>
        </w:rPr>
        <w:t>③政府机构候选人，政党领导、员工和代表，王室成员；</w:t>
      </w:r>
    </w:p>
    <w:p>
      <w:pPr>
        <w:spacing w:line="440" w:lineRule="exact"/>
        <w:ind w:right="-25" w:firstLine="630" w:firstLineChars="225"/>
        <w:rPr>
          <w:rFonts w:eastAsia="仿宋_GB2312"/>
          <w:sz w:val="28"/>
          <w:szCs w:val="28"/>
        </w:rPr>
      </w:pPr>
      <w:r>
        <w:rPr>
          <w:rFonts w:hint="eastAsia" w:eastAsia="仿宋_GB2312"/>
          <w:sz w:val="28"/>
          <w:szCs w:val="28"/>
        </w:rPr>
        <w:t>④国有或国家控股公司或实体的官员和员工；</w:t>
      </w:r>
    </w:p>
    <w:p>
      <w:pPr>
        <w:spacing w:line="440" w:lineRule="exact"/>
        <w:ind w:right="-25" w:firstLine="630" w:firstLineChars="225"/>
        <w:rPr>
          <w:rFonts w:eastAsia="仿宋_GB2312"/>
          <w:sz w:val="28"/>
          <w:szCs w:val="28"/>
        </w:rPr>
      </w:pPr>
      <w:r>
        <w:rPr>
          <w:rFonts w:hint="eastAsia" w:eastAsia="仿宋_GB2312"/>
          <w:sz w:val="28"/>
          <w:szCs w:val="28"/>
        </w:rPr>
        <w:t xml:space="preserve">⑤上述人员的近亲属或紧密关系人。 </w:t>
      </w:r>
    </w:p>
    <w:p>
      <w:pPr>
        <w:spacing w:line="440" w:lineRule="exact"/>
        <w:ind w:right="-25" w:firstLine="630" w:firstLineChars="225"/>
        <w:rPr>
          <w:rFonts w:eastAsia="仿宋_GB2312"/>
          <w:sz w:val="28"/>
          <w:szCs w:val="28"/>
        </w:rPr>
      </w:pPr>
      <w:r>
        <w:rPr>
          <w:rFonts w:hint="eastAsia" w:eastAsia="仿宋_GB2312"/>
          <w:sz w:val="28"/>
          <w:szCs w:val="28"/>
        </w:rPr>
        <w:t>（3）不存在任何针对乙方或其任何高管和员工的正在进行的刑事调查，也没有因与贿赂、腐败或违反商业法律有关的不当行为而在中国或其他国家受过民事或刑事执行措施。</w:t>
      </w:r>
    </w:p>
    <w:p>
      <w:pPr>
        <w:spacing w:line="440" w:lineRule="exact"/>
        <w:ind w:right="-25" w:firstLine="630" w:firstLineChars="225"/>
        <w:rPr>
          <w:rFonts w:eastAsia="仿宋_GB2312"/>
          <w:sz w:val="28"/>
          <w:szCs w:val="28"/>
        </w:rPr>
      </w:pPr>
      <w:r>
        <w:rPr>
          <w:rFonts w:hint="eastAsia" w:eastAsia="仿宋_GB2312"/>
          <w:sz w:val="28"/>
          <w:szCs w:val="28"/>
        </w:rPr>
        <w:t>（4）违反上述规定，甲方有权立即解除合同并追偿损失。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rPr>
        <w:t>1.合同清单</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sz w:val="28"/>
          <w:szCs w:val="28"/>
        </w:rPr>
      </w:pPr>
      <w:r>
        <w:rPr>
          <w:rFonts w:hint="eastAsia" w:eastAsia="仿宋_GB2312"/>
          <w:sz w:val="28"/>
          <w:szCs w:val="28"/>
        </w:rPr>
        <w:t>4、合同价款支付：</w:t>
      </w:r>
    </w:p>
    <w:p>
      <w:pPr>
        <w:spacing w:line="440" w:lineRule="exact"/>
        <w:ind w:firstLine="630" w:firstLineChars="224"/>
        <w:outlineLvl w:val="0"/>
        <w:rPr>
          <w:rFonts w:eastAsia="仿宋_GB2312"/>
          <w:b/>
          <w:sz w:val="28"/>
          <w:szCs w:val="28"/>
        </w:rPr>
      </w:pP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质量保修期自本工程全部竣工验收并取得建设行政主管部门备案验收手续开始计算。验收以前本工程发生保修项目，乙方应在接到甲方通知后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sz w:val="28"/>
          <w:szCs w:val="28"/>
          <w:u w:val="single"/>
        </w:rPr>
        <w:t xml:space="preserve"> </w:t>
      </w:r>
      <w:r>
        <w:rPr>
          <w:rFonts w:eastAsia="仿宋_GB2312"/>
          <w:sz w:val="28"/>
          <w:szCs w:val="28"/>
          <w:u w:val="single"/>
        </w:rPr>
        <w:t>2</w:t>
      </w:r>
      <w:r>
        <w:rPr>
          <w:rFonts w:hint="eastAsia" w:eastAsia="仿宋_GB2312"/>
          <w:sz w:val="28"/>
          <w:szCs w:val="28"/>
          <w:u w:val="single"/>
        </w:rPr>
        <w:t xml:space="preserve"> </w:t>
      </w:r>
      <w:r>
        <w:rPr>
          <w:rFonts w:hint="eastAsia" w:eastAsia="仿宋_GB2312"/>
          <w:sz w:val="28"/>
          <w:szCs w:val="28"/>
        </w:rPr>
        <w:t>倍向甲方支付违约金。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sz w:val="28"/>
          <w:szCs w:val="28"/>
        </w:rPr>
      </w:pPr>
      <w:r>
        <w:rPr>
          <w:rFonts w:hint="eastAsia" w:eastAsia="仿宋_GB2312"/>
          <w:sz w:val="28"/>
          <w:szCs w:val="28"/>
        </w:rPr>
        <w:t>本合同一式</w:t>
      </w:r>
      <w:r>
        <w:rPr>
          <w:rFonts w:hint="eastAsia" w:eastAsia="仿宋_GB2312"/>
          <w:sz w:val="28"/>
          <w:szCs w:val="28"/>
          <w:u w:val="single"/>
        </w:rPr>
        <w:t xml:space="preserve">   </w:t>
      </w:r>
      <w:r>
        <w:rPr>
          <w:rFonts w:hint="eastAsia" w:eastAsia="仿宋_GB2312"/>
          <w:sz w:val="28"/>
          <w:szCs w:val="28"/>
        </w:rPr>
        <w:t>份，甲方执</w:t>
      </w:r>
      <w:r>
        <w:rPr>
          <w:rFonts w:hint="eastAsia" w:eastAsia="仿宋_GB2312"/>
          <w:sz w:val="28"/>
          <w:szCs w:val="28"/>
          <w:u w:val="single"/>
        </w:rPr>
        <w:t xml:space="preserve">    </w:t>
      </w:r>
      <w:r>
        <w:rPr>
          <w:rFonts w:hint="eastAsia" w:eastAsia="仿宋_GB2312"/>
          <w:sz w:val="28"/>
          <w:szCs w:val="28"/>
        </w:rPr>
        <w:t>份，乙方执</w:t>
      </w:r>
      <w:r>
        <w:rPr>
          <w:rFonts w:hint="eastAsia" w:eastAsia="仿宋_GB2312"/>
          <w:sz w:val="28"/>
          <w:szCs w:val="28"/>
          <w:u w:val="single"/>
        </w:rPr>
        <w:t xml:space="preserve">    </w:t>
      </w:r>
      <w:r>
        <w:rPr>
          <w:rFonts w:hint="eastAsia" w:eastAsia="仿宋_GB2312"/>
          <w:sz w:val="28"/>
          <w:szCs w:val="28"/>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numPr>
          <w:ilvl w:val="0"/>
          <w:numId w:val="3"/>
        </w:numPr>
        <w:spacing w:line="440" w:lineRule="exact"/>
        <w:ind w:firstLine="627" w:firstLineChars="224"/>
        <w:rPr>
          <w:rFonts w:eastAsia="仿宋_GB2312"/>
          <w:sz w:val="28"/>
          <w:szCs w:val="28"/>
        </w:rPr>
      </w:pPr>
      <w:r>
        <w:rPr>
          <w:rFonts w:hint="eastAsia" w:eastAsia="仿宋_GB2312"/>
          <w:sz w:val="28"/>
          <w:szCs w:val="28"/>
        </w:rPr>
        <w:t>乙方应在本合同签订后5个工作日内向甲方交纳履约、质量、工期、安全文明施工履约保证金人民币（大写）______万____元_角_分（小写）________万元（合同金额的___%）（不计息）</w:t>
      </w:r>
      <w:r>
        <w:rPr>
          <w:rFonts w:hint="eastAsia" w:eastAsia="方正楷体_GBK"/>
          <w:iCs/>
          <w:sz w:val="28"/>
          <w:szCs w:val="28"/>
          <w:u w:val="single"/>
        </w:rPr>
        <w:t>{要求：不低于合同金额的1%}</w:t>
      </w:r>
      <w:r>
        <w:rPr>
          <w:rFonts w:hint="eastAsia" w:eastAsia="仿宋_GB2312"/>
          <w:sz w:val="28"/>
          <w:szCs w:val="28"/>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560" w:firstLineChars="200"/>
        <w:rPr>
          <w:rFonts w:eastAsia="仿宋_GB2312"/>
          <w:sz w:val="28"/>
          <w:szCs w:val="28"/>
        </w:rPr>
      </w:pPr>
      <w:r>
        <w:rPr>
          <w:rFonts w:hint="eastAsia" w:eastAsia="仿宋_GB2312"/>
          <w:sz w:val="28"/>
          <w:szCs w:val="28"/>
        </w:rPr>
        <w:t>乙方未按合同按时足额缴纳履约保证金的，则________。{参考条款如下，可多选：</w:t>
      </w:r>
    </w:p>
    <w:p>
      <w:pPr>
        <w:spacing w:line="440" w:lineRule="exact"/>
        <w:ind w:firstLine="627" w:firstLineChars="224"/>
        <w:rPr>
          <w:rFonts w:eastAsia="仿宋_GB2312"/>
          <w:sz w:val="28"/>
          <w:szCs w:val="28"/>
        </w:rPr>
      </w:pPr>
      <w:r>
        <w:rPr>
          <w:rFonts w:hint="eastAsia" w:eastAsia="仿宋_GB2312"/>
          <w:sz w:val="28"/>
          <w:szCs w:val="28"/>
        </w:rPr>
        <w:t>（1）、履约保证金缴纳，每逾期10日（不足10日的按10日计），乙方须按合同约定向甲方支付履约保证金10%的违约金，最多逾期30天，甲方按本合同支付工程款时将扣除违约金。</w:t>
      </w:r>
    </w:p>
    <w:p>
      <w:pPr>
        <w:spacing w:line="440" w:lineRule="exact"/>
        <w:ind w:firstLine="627" w:firstLineChars="224"/>
        <w:rPr>
          <w:rFonts w:eastAsia="仿宋_GB2312"/>
          <w:sz w:val="28"/>
          <w:szCs w:val="28"/>
        </w:rPr>
      </w:pPr>
      <w:r>
        <w:rPr>
          <w:rFonts w:hint="eastAsia" w:eastAsia="仿宋_GB2312"/>
          <w:sz w:val="28"/>
          <w:szCs w:val="28"/>
        </w:rPr>
        <w:t>（2）、履约保证金缴纳，乙方逾期_____日后，将在甲方国内工程项目供方信息库，取消乙方合格供方资格，且1年内禁止再次申请入库。</w:t>
      </w:r>
    </w:p>
    <w:p>
      <w:pPr>
        <w:spacing w:line="440" w:lineRule="exact"/>
        <w:ind w:firstLine="627" w:firstLineChars="224"/>
        <w:rPr>
          <w:rFonts w:eastAsia="仿宋_GB2312"/>
          <w:sz w:val="28"/>
          <w:szCs w:val="28"/>
        </w:rPr>
      </w:pPr>
      <w:r>
        <w:rPr>
          <w:rFonts w:hint="eastAsia" w:eastAsia="仿宋_GB2312"/>
          <w:sz w:val="28"/>
          <w:szCs w:val="28"/>
        </w:rPr>
        <w:t>（3）、履约保证金缴纳，乙方逾期_____日后，甲方随时有权单方解除本合同，乙方应该立即无条件退场，不得阻挠甲方另行劳务分包，对于乙方工程质量合格的已完成工程量按照结算总价的30%进行扣减结算。}</w:t>
      </w:r>
    </w:p>
    <w:p>
      <w:pPr>
        <w:spacing w:line="440" w:lineRule="exact"/>
        <w:ind w:firstLine="627" w:firstLineChars="224"/>
        <w:rPr>
          <w:rFonts w:eastAsia="仿宋_GB2312"/>
          <w:sz w:val="28"/>
          <w:szCs w:val="28"/>
        </w:rPr>
      </w:pPr>
      <w:r>
        <w:rPr>
          <w:rFonts w:hint="eastAsia" w:eastAsia="仿宋_GB2312"/>
          <w:sz w:val="28"/>
          <w:szCs w:val="28"/>
        </w:rPr>
        <w:t>同时，如因乙方原因造成甲方损失的，乙方负责向甲方足额赔偿。</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sz w:val="28"/>
          <w:szCs w:val="28"/>
        </w:rPr>
      </w:pPr>
      <w:r>
        <w:rPr>
          <w:rFonts w:hint="eastAsia" w:eastAsia="仿宋_GB2312"/>
          <w:sz w:val="28"/>
          <w:szCs w:val="28"/>
        </w:rPr>
        <w:t>4、若</w:t>
      </w:r>
      <w:r>
        <w:rPr>
          <w:rFonts w:eastAsia="仿宋_GB2312"/>
          <w:sz w:val="28"/>
          <w:szCs w:val="28"/>
        </w:rPr>
        <w:t>分包单位发生安全生产事故，其</w:t>
      </w:r>
      <w:r>
        <w:rPr>
          <w:rFonts w:hint="eastAsia" w:eastAsia="仿宋_GB2312"/>
          <w:sz w:val="28"/>
          <w:szCs w:val="28"/>
        </w:rPr>
        <w:t>履约</w:t>
      </w:r>
      <w:r>
        <w:rPr>
          <w:rFonts w:eastAsia="仿宋_GB2312"/>
          <w:sz w:val="28"/>
          <w:szCs w:val="28"/>
        </w:rPr>
        <w:t>保证金自动转为安全生产保证金，按</w:t>
      </w:r>
      <w:r>
        <w:rPr>
          <w:rFonts w:hint="eastAsia" w:eastAsia="仿宋_GB2312"/>
          <w:sz w:val="28"/>
          <w:szCs w:val="28"/>
        </w:rPr>
        <w:t>合同</w:t>
      </w:r>
      <w:r>
        <w:rPr>
          <w:rFonts w:eastAsia="仿宋_GB2312"/>
          <w:sz w:val="28"/>
          <w:szCs w:val="28"/>
        </w:rPr>
        <w:t>附件《</w:t>
      </w:r>
      <w:r>
        <w:rPr>
          <w:rFonts w:hint="eastAsia" w:eastAsia="仿宋_GB2312"/>
          <w:sz w:val="28"/>
          <w:szCs w:val="28"/>
        </w:rPr>
        <w:t>工程项目安全生产协议》“第</w:t>
      </w:r>
      <w:r>
        <w:rPr>
          <w:rFonts w:eastAsia="仿宋_GB2312"/>
          <w:sz w:val="28"/>
          <w:szCs w:val="28"/>
        </w:rPr>
        <w:t>四条</w:t>
      </w:r>
      <w:r>
        <w:rPr>
          <w:rFonts w:hint="eastAsia" w:eastAsia="仿宋_GB2312"/>
          <w:sz w:val="28"/>
          <w:szCs w:val="28"/>
        </w:rPr>
        <w:t xml:space="preserve"> 施工安全保证金”</w:t>
      </w:r>
      <w:r>
        <w:rPr>
          <w:rFonts w:eastAsia="仿宋_GB2312"/>
          <w:sz w:val="28"/>
          <w:szCs w:val="28"/>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eastAsia="仿宋_GB2312"/>
          <w:kern w:val="0"/>
          <w:sz w:val="28"/>
          <w:szCs w:val="28"/>
          <w:u w:val="single"/>
        </w:rPr>
      </w:pPr>
      <w:r>
        <w:rPr>
          <w:rFonts w:hint="eastAsia" w:eastAsia="仿宋_GB2312"/>
          <w:kern w:val="0"/>
          <w:sz w:val="28"/>
          <w:szCs w:val="28"/>
        </w:rPr>
        <w:t>（1） 甲方确认其有效的送达地址为</w:t>
      </w:r>
      <w:r>
        <w:rPr>
          <w:rFonts w:hint="eastAsia" w:eastAsia="仿宋_GB2312"/>
          <w:kern w:val="0"/>
          <w:sz w:val="28"/>
          <w:szCs w:val="28"/>
          <w:u w:val="single"/>
        </w:rPr>
        <w:t xml:space="preserve">__________________，联系人：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          </w:t>
      </w:r>
      <w:r>
        <w:rPr>
          <w:rFonts w:hint="eastAsia" w:eastAsia="仿宋_GB2312"/>
          <w:kern w:val="0"/>
          <w:sz w:val="28"/>
          <w:szCs w:val="28"/>
        </w:rPr>
        <w:t>。</w:t>
      </w:r>
    </w:p>
    <w:p>
      <w:pPr>
        <w:numPr>
          <w:ilvl w:val="0"/>
          <w:numId w:val="4"/>
        </w:numPr>
        <w:adjustRightInd w:val="0"/>
        <w:snapToGrid w:val="0"/>
        <w:spacing w:line="440" w:lineRule="exact"/>
        <w:ind w:left="3008" w:leftChars="399" w:hanging="2170" w:hangingChars="775"/>
        <w:jc w:val="left"/>
        <w:rPr>
          <w:rFonts w:eastAsia="仿宋_GB2312"/>
          <w:kern w:val="0"/>
          <w:sz w:val="28"/>
          <w:szCs w:val="28"/>
        </w:rPr>
      </w:pPr>
      <w:r>
        <w:rPr>
          <w:rFonts w:hint="eastAsia" w:eastAsia="仿宋_GB2312"/>
          <w:kern w:val="0"/>
          <w:sz w:val="28"/>
          <w:szCs w:val="28"/>
        </w:rPr>
        <w:t>乙方确认其有效的送达地址为</w:t>
      </w:r>
      <w:r>
        <w:rPr>
          <w:rFonts w:hint="eastAsia" w:eastAsia="仿宋_GB2312"/>
          <w:kern w:val="0"/>
          <w:sz w:val="28"/>
          <w:szCs w:val="28"/>
          <w:u w:val="single"/>
        </w:rPr>
        <w:t xml:space="preserve">__________________，联系人：    </w:t>
      </w:r>
    </w:p>
    <w:p>
      <w:pPr>
        <w:adjustRightInd w:val="0"/>
        <w:snapToGrid w:val="0"/>
        <w:spacing w:line="440" w:lineRule="exact"/>
        <w:ind w:left="-790" w:leftChars="-376" w:firstLine="840" w:firstLineChars="300"/>
        <w:jc w:val="left"/>
        <w:rPr>
          <w:rFonts w:eastAsia="仿宋_GB2312"/>
          <w:kern w:val="0"/>
          <w:sz w:val="28"/>
          <w:szCs w:val="28"/>
        </w:rPr>
      </w:pPr>
      <w:r>
        <w:rPr>
          <w:rFonts w:hint="eastAsia" w:eastAsia="仿宋_GB2312"/>
          <w:kern w:val="0"/>
          <w:sz w:val="28"/>
          <w:szCs w:val="28"/>
          <w:u w:val="single"/>
        </w:rPr>
        <w:t xml:space="preserve">                 联系电话：             </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eastAsia="仿宋_GB2312"/>
          <w:bCs/>
          <w:i/>
          <w:sz w:val="28"/>
          <w:szCs w:val="28"/>
          <w:u w:val="single"/>
        </w:rPr>
      </w:pPr>
      <w:r>
        <w:rPr>
          <w:rFonts w:hint="eastAsia" w:eastAsia="仿宋_GB2312"/>
          <w:bCs/>
          <w:sz w:val="28"/>
          <w:szCs w:val="28"/>
        </w:rPr>
        <w:t>合同附件：1._____________（填：合同名称）合同清单。</w:t>
      </w:r>
    </w:p>
    <w:p>
      <w:pPr>
        <w:widowControl w:val="0"/>
        <w:spacing w:line="440" w:lineRule="exact"/>
        <w:ind w:left="1470" w:leftChars="700"/>
        <w:rPr>
          <w:rFonts w:eastAsia="仿宋_GB2312"/>
          <w:bCs/>
          <w:sz w:val="28"/>
          <w:szCs w:val="28"/>
        </w:rPr>
      </w:pPr>
      <w:r>
        <w:rPr>
          <w:rFonts w:hint="eastAsia" w:eastAsia="仿宋_GB2312"/>
          <w:bCs/>
          <w:sz w:val="28"/>
          <w:szCs w:val="28"/>
        </w:rPr>
        <w:t>2.安全生产协议</w:t>
      </w:r>
    </w:p>
    <w:p>
      <w:pPr>
        <w:spacing w:line="440" w:lineRule="exact"/>
        <w:ind w:firstLine="562" w:firstLineChars="200"/>
        <w:rPr>
          <w:rFonts w:eastAsia="仿宋_GB2312"/>
          <w:b/>
          <w:sz w:val="28"/>
          <w:szCs w:val="28"/>
        </w:rPr>
      </w:pP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jc w:val="center"/>
        <w:rPr>
          <w:rFonts w:eastAsia="仿宋_GB2312"/>
          <w:sz w:val="28"/>
          <w:szCs w:val="28"/>
        </w:rPr>
      </w:pPr>
      <w:r>
        <w:rPr>
          <w:rFonts w:hint="eastAsia" w:eastAsia="仿宋_GB2312"/>
          <w:sz w:val="28"/>
          <w:szCs w:val="28"/>
        </w:rPr>
        <w:t>签订日期：</w:t>
      </w:r>
    </w:p>
    <w:p>
      <w:pPr>
        <w:jc w:val="left"/>
      </w:pPr>
      <w:r>
        <w:br w:type="page"/>
      </w:r>
    </w:p>
    <w:p>
      <w:pPr>
        <w:widowControl w:val="0"/>
        <w:spacing w:line="440" w:lineRule="exact"/>
        <w:rPr>
          <w:rFonts w:eastAsia="仿宋_GB2312"/>
          <w:bCs/>
          <w:sz w:val="28"/>
          <w:szCs w:val="28"/>
        </w:rPr>
      </w:pPr>
      <w:r>
        <w:rPr>
          <w:rFonts w:hint="eastAsia" w:eastAsia="仿宋_GB2312"/>
          <w:bCs/>
          <w:sz w:val="28"/>
          <w:szCs w:val="28"/>
        </w:rPr>
        <w:t>合同附件2. 安全生产协议</w:t>
      </w:r>
    </w:p>
    <w:p>
      <w:pPr>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工程项目安全生产协议</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p>
    <w:p>
      <w:pPr>
        <w:tabs>
          <w:tab w:val="left" w:pos="670"/>
          <w:tab w:val="center" w:pos="4252"/>
        </w:tabs>
        <w:spacing w:line="440" w:lineRule="exact"/>
        <w:rPr>
          <w:rFonts w:eastAsia="仿宋_GB2312"/>
          <w:b/>
          <w:sz w:val="28"/>
          <w:szCs w:val="28"/>
        </w:rPr>
      </w:pPr>
      <w:r>
        <w:rPr>
          <w:rFonts w:hint="eastAsia" w:eastAsia="仿宋_GB2312"/>
          <w:b/>
          <w:sz w:val="28"/>
          <w:szCs w:val="28"/>
        </w:rPr>
        <w:t>乙方：</w:t>
      </w:r>
      <w:r>
        <w:rPr>
          <w:rFonts w:hint="eastAsia" w:eastAsia="仿宋_GB2312"/>
          <w:b/>
          <w:sz w:val="28"/>
          <w:szCs w:val="28"/>
          <w:u w:val="single"/>
        </w:rPr>
        <w:t xml:space="preserve"> ___________</w:t>
      </w:r>
      <w:r>
        <w:rPr>
          <w:rFonts w:hint="eastAsia" w:eastAsia="仿宋_GB2312"/>
          <w:bCs/>
          <w:sz w:val="28"/>
          <w:szCs w:val="28"/>
          <w:u w:val="single"/>
        </w:rPr>
        <w:t>XXXX____</w:t>
      </w:r>
      <w:r>
        <w:rPr>
          <w:rFonts w:eastAsia="仿宋_GB2312"/>
          <w:bCs/>
          <w:sz w:val="28"/>
          <w:szCs w:val="28"/>
          <w:u w:val="single"/>
        </w:rPr>
        <w:t>有限公司</w:t>
      </w:r>
      <w:r>
        <w:rPr>
          <w:rFonts w:hint="eastAsia" w:eastAsia="仿宋_GB2312"/>
          <w:b/>
          <w:sz w:val="28"/>
          <w:szCs w:val="28"/>
          <w:u w:val="single"/>
        </w:rPr>
        <w:t xml:space="preserve">  </w:t>
      </w:r>
      <w:r>
        <w:rPr>
          <w:rFonts w:hint="eastAsia" w:eastAsia="仿宋_GB2312"/>
          <w:bCs/>
          <w:sz w:val="28"/>
          <w:szCs w:val="28"/>
          <w:u w:val="single"/>
        </w:rPr>
        <w:t>（分包单位）</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为贯彻“安全第一，预防为主”方针，明确双方的安全生产责任，确保施工安全，经双方协商一致签订本协议。</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一、工程概况：</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1、工程名称：</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2、工程地址：</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3、工程范围和内容：</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4、管理模式：</w:t>
      </w:r>
      <w:r>
        <w:rPr>
          <w:rFonts w:ascii="Times New Roman" w:hAnsi="Times New Roman" w:eastAsia="仿宋_GB2312"/>
          <w:sz w:val="28"/>
          <w:szCs w:val="28"/>
          <w:u w:val="single"/>
        </w:rPr>
        <w:t xml:space="preserve"> 自营 </w:t>
      </w:r>
      <w:r>
        <w:rPr>
          <w:rFonts w:ascii="Times New Roman" w:hAnsi="Times New Roman" w:eastAsia="仿宋_GB2312"/>
          <w:sz w:val="28"/>
          <w:szCs w:val="28"/>
        </w:rPr>
        <w:t>（或自营/劳务分包/专业分包）</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二、协议期限：</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 xml:space="preserve">自 </w:t>
      </w:r>
      <w:r>
        <w:rPr>
          <w:rFonts w:ascii="Times New Roman" w:hAnsi="Times New Roman" w:eastAsia="仿宋_GB2312"/>
          <w:sz w:val="28"/>
          <w:szCs w:val="28"/>
          <w:u w:val="single"/>
        </w:rPr>
        <w:t xml:space="preserve">___年_月_日_ </w:t>
      </w:r>
      <w:r>
        <w:rPr>
          <w:rFonts w:ascii="Times New Roman" w:hAnsi="Times New Roman" w:eastAsia="仿宋_GB2312"/>
          <w:sz w:val="28"/>
          <w:szCs w:val="28"/>
        </w:rPr>
        <w:t>至</w:t>
      </w:r>
      <w:r>
        <w:rPr>
          <w:rFonts w:ascii="Times New Roman" w:hAnsi="Times New Roman" w:eastAsia="仿宋_GB2312"/>
          <w:sz w:val="28"/>
          <w:szCs w:val="28"/>
          <w:u w:val="single"/>
        </w:rPr>
        <w:t xml:space="preserve">___年_月_日_ </w:t>
      </w:r>
      <w:r>
        <w:rPr>
          <w:rFonts w:ascii="Times New Roman" w:hAnsi="Times New Roman" w:eastAsia="仿宋_GB2312"/>
          <w:sz w:val="28"/>
          <w:szCs w:val="28"/>
        </w:rPr>
        <w:t>完工。</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三、双方责任：</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（一）甲方安全责任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1、甲方对乙方进行施工安全技术交底和安全培训教育，并应有书面记录或资料。</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4、甲方不得要求乙方违反安全管理规定进行施工，因甲方原因导致的事故由甲方承担责任。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5、甲方应统一购买项目作业人员意外伤害保险。</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（二） 乙方安全责任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1、乙方所提供的分包工程要求的相关资质证明材料应真实、合法、有效。</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2、乙方必须贯彻执行国家有关安全生产的法律法规和甲方公司安全生产、文明施工标准要求，并严格按施工组织设计和安全技术措施施工。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4、施工期间，乙方应遵照《重庆对外建设（集团）有限公司 关于印发&lt;安全管理机构设置及专职安全人员配备办法&gt;的通知》（渝外建发〔2015〕271号）设有专职安全管理人员。</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10、乙方施工过程中需使用电、水源，应事先与甲方取得联系，不得私拉乱接。中断作业或遇故障应立即切断有关开关。</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11、乙方施工过程中应做到工完、料尽、场地清，确保安全文明施工。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ind w:firstLine="562" w:firstLineChars="200"/>
        <w:rPr>
          <w:rFonts w:hint="default" w:ascii="Times New Roman" w:hAnsi="Times New Roman" w:eastAsia="仿宋_GB2312"/>
          <w:b/>
          <w:bCs/>
          <w:sz w:val="28"/>
          <w:szCs w:val="28"/>
        </w:rPr>
      </w:pPr>
      <w:r>
        <w:rPr>
          <w:rFonts w:ascii="Times New Roman" w:hAnsi="Times New Roman" w:eastAsia="仿宋_GB2312"/>
          <w:b/>
          <w:bCs/>
          <w:sz w:val="28"/>
          <w:szCs w:val="28"/>
        </w:rPr>
        <w:t>四、施工安全保证金</w:t>
      </w:r>
    </w:p>
    <w:p>
      <w:pPr>
        <w:pStyle w:val="11"/>
        <w:spacing w:beforeAutospacing="0" w:afterAutospacing="0" w:line="440" w:lineRule="exact"/>
        <w:jc w:val="both"/>
        <w:rPr>
          <w:rFonts w:hint="default" w:ascii="Times New Roman" w:hAnsi="Times New Roman" w:eastAsia="仿宋_GB2312"/>
          <w:sz w:val="28"/>
          <w:szCs w:val="28"/>
        </w:rPr>
      </w:pPr>
      <w:r>
        <w:rPr>
          <w:rFonts w:ascii="Times New Roman" w:hAnsi="Times New Roman" w:eastAsia="仿宋_GB2312"/>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（1）发生人身死亡事故或设备重大事故，扣除全部安全保证金；</w:t>
      </w:r>
    </w:p>
    <w:p>
      <w:pPr>
        <w:spacing w:line="440" w:lineRule="exact"/>
        <w:ind w:firstLine="480"/>
        <w:rPr>
          <w:rFonts w:eastAsia="仿宋_GB2312"/>
          <w:sz w:val="28"/>
          <w:szCs w:val="28"/>
        </w:rPr>
      </w:pPr>
      <w:r>
        <w:rPr>
          <w:rFonts w:hint="eastAsia" w:eastAsia="仿宋_GB2312"/>
          <w:sz w:val="28"/>
          <w:szCs w:val="28"/>
        </w:rPr>
        <w:t>（2）发生人身重伤事故，扣除50%安全保证金；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（3）乙方人员发生违章行为的经济处罚，按处罚规定从安全保证金内扣除；处罚规定按现行外建集团等相关制度、文件执行，包括但不限于《重庆对外建设（集团）有限公司 安全目标考核奖惩办法》、《重庆对外建设（集团）有限公司 安全处罚实施细则》（详见本协议附件）、《第三总承包工程公司安全违章处罚实施细则》（详见本协议附件）等。</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五、 违约责任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1、由于甲方或乙方责任造成对方或第三方的人身伤害、设备损坏等财产损失，由责任方承担相应责任，并赔偿对方或第三方因此造成的全部损失。</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2、合同履行中，发现乙方提供的有关资质材料无效，甲方有权解除分包合同，并由乙方承担由此造成的一切损失。</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3、发现乙方现场作业人员有违章行为的，比照甲方有关安全生产奖惩规定对甲方职工相类似的违章行为应扣款数额，承担相应的违约金。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5、乙方使用甲方提供的设施设备、工器具等造成损坏的，应照价赔偿。</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b/>
          <w:bCs/>
          <w:sz w:val="28"/>
          <w:szCs w:val="28"/>
        </w:rPr>
        <w:t xml:space="preserve">六、 </w:t>
      </w:r>
      <w:r>
        <w:rPr>
          <w:rFonts w:ascii="Times New Roman" w:hAnsi="Times New Roman" w:eastAsia="仿宋_GB2312"/>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kern w:val="0"/>
          <w:sz w:val="28"/>
          <w:szCs w:val="28"/>
        </w:rPr>
      </w:pPr>
      <w:r>
        <w:rPr>
          <w:rFonts w:hint="eastAsia" w:eastAsia="仿宋_GB2312"/>
          <w:b/>
          <w:bCs/>
          <w:kern w:val="0"/>
          <w:sz w:val="28"/>
          <w:szCs w:val="28"/>
        </w:rPr>
        <w:t>七、</w:t>
      </w:r>
      <w:r>
        <w:rPr>
          <w:rFonts w:hint="eastAsia" w:eastAsia="仿宋_GB2312"/>
          <w:kern w:val="0"/>
          <w:sz w:val="28"/>
          <w:szCs w:val="28"/>
        </w:rPr>
        <w:t>关于商业文书及诉讼、仲裁文书的通知与送达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numPr>
          <w:ilvl w:val="0"/>
          <w:numId w:val="5"/>
        </w:numPr>
        <w:adjustRightInd w:val="0"/>
        <w:snapToGrid w:val="0"/>
        <w:spacing w:line="440" w:lineRule="exact"/>
        <w:ind w:left="1608" w:leftChars="399" w:hanging="770" w:hangingChars="275"/>
        <w:jc w:val="left"/>
        <w:rPr>
          <w:rFonts w:eastAsia="仿宋_GB2312"/>
          <w:kern w:val="0"/>
          <w:sz w:val="28"/>
          <w:szCs w:val="28"/>
        </w:rPr>
      </w:pPr>
      <w:r>
        <w:rPr>
          <w:rFonts w:hint="eastAsia" w:eastAsia="仿宋_GB2312"/>
          <w:kern w:val="0"/>
          <w:sz w:val="28"/>
          <w:szCs w:val="28"/>
        </w:rPr>
        <w:t>甲方确认其有效的通知与送达地址为</w:t>
      </w:r>
      <w:r>
        <w:rPr>
          <w:rFonts w:hint="eastAsia" w:eastAsia="仿宋_GB2312"/>
          <w:kern w:val="0"/>
          <w:sz w:val="28"/>
          <w:szCs w:val="28"/>
          <w:u w:val="single"/>
        </w:rPr>
        <w:t xml:space="preserve">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联系电话：__         _</w:t>
      </w:r>
      <w:r>
        <w:rPr>
          <w:rFonts w:hint="eastAsia" w:eastAsia="仿宋_GB2312"/>
          <w:kern w:val="0"/>
          <w:sz w:val="28"/>
          <w:szCs w:val="28"/>
        </w:rPr>
        <w:t>。</w:t>
      </w:r>
    </w:p>
    <w:p>
      <w:pPr>
        <w:numPr>
          <w:ilvl w:val="0"/>
          <w:numId w:val="5"/>
        </w:numPr>
        <w:adjustRightInd w:val="0"/>
        <w:snapToGrid w:val="0"/>
        <w:spacing w:line="440" w:lineRule="exact"/>
        <w:ind w:left="1608" w:leftChars="399" w:hanging="770" w:hangingChars="275"/>
        <w:jc w:val="left"/>
        <w:rPr>
          <w:rFonts w:eastAsia="仿宋_GB2312"/>
          <w:kern w:val="0"/>
          <w:sz w:val="28"/>
          <w:szCs w:val="28"/>
          <w:u w:val="single"/>
        </w:rPr>
      </w:pPr>
      <w:r>
        <w:rPr>
          <w:rFonts w:hint="eastAsia" w:eastAsia="仿宋_GB2312"/>
          <w:kern w:val="0"/>
          <w:sz w:val="28"/>
          <w:szCs w:val="28"/>
        </w:rPr>
        <w:t>乙方确认其有效的通知与送达地址为</w:t>
      </w:r>
      <w:r>
        <w:rPr>
          <w:rFonts w:hint="eastAsia" w:eastAsia="仿宋_GB2312"/>
          <w:kern w:val="0"/>
          <w:sz w:val="28"/>
          <w:szCs w:val="28"/>
          <w:u w:val="single"/>
        </w:rPr>
        <w:t xml:space="preserve">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联系电话：_       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b/>
          <w:bCs/>
          <w:sz w:val="28"/>
          <w:szCs w:val="28"/>
        </w:rPr>
        <w:t>八、</w:t>
      </w:r>
      <w:r>
        <w:rPr>
          <w:rFonts w:ascii="Times New Roman" w:hAnsi="Times New Roman" w:eastAsia="仿宋_GB2312"/>
          <w:sz w:val="28"/>
          <w:szCs w:val="28"/>
        </w:rPr>
        <w:t>本协议一式</w:t>
      </w:r>
      <w:r>
        <w:rPr>
          <w:rFonts w:ascii="Times New Roman" w:hAnsi="Times New Roman" w:eastAsia="仿宋_GB2312"/>
          <w:sz w:val="28"/>
          <w:szCs w:val="28"/>
          <w:u w:val="single"/>
        </w:rPr>
        <w:t>五</w:t>
      </w:r>
      <w:r>
        <w:rPr>
          <w:rFonts w:ascii="Times New Roman" w:hAnsi="Times New Roman" w:eastAsia="仿宋_GB2312"/>
          <w:sz w:val="28"/>
          <w:szCs w:val="28"/>
        </w:rPr>
        <w:t>份，甲方执</w:t>
      </w:r>
      <w:r>
        <w:rPr>
          <w:rFonts w:ascii="Times New Roman" w:hAnsi="Times New Roman" w:eastAsia="仿宋_GB2312"/>
          <w:sz w:val="28"/>
          <w:szCs w:val="28"/>
          <w:u w:val="single"/>
        </w:rPr>
        <w:t>四</w:t>
      </w:r>
      <w:r>
        <w:rPr>
          <w:rFonts w:ascii="Times New Roman" w:hAnsi="Times New Roman" w:eastAsia="仿宋_GB2312"/>
          <w:sz w:val="28"/>
          <w:szCs w:val="28"/>
        </w:rPr>
        <w:t>份，乙方执</w:t>
      </w:r>
      <w:r>
        <w:rPr>
          <w:rFonts w:ascii="Times New Roman" w:hAnsi="Times New Roman" w:eastAsia="仿宋_GB2312"/>
          <w:sz w:val="28"/>
          <w:szCs w:val="28"/>
          <w:u w:val="single"/>
        </w:rPr>
        <w:t>一</w:t>
      </w:r>
      <w:r>
        <w:rPr>
          <w:rFonts w:ascii="Times New Roman" w:hAnsi="Times New Roman" w:eastAsia="仿宋_GB2312"/>
          <w:sz w:val="28"/>
          <w:szCs w:val="28"/>
        </w:rPr>
        <w:t>份，签字盖单后生效，有效期为分包合同期限。</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安全生产协议附件：1、重庆对外建设（集团）有限公司安全处罚实施细则</w:t>
      </w:r>
    </w:p>
    <w:p>
      <w:pPr>
        <w:jc w:val="center"/>
        <w:rPr>
          <w:rFonts w:ascii="Times New Roman" w:hAnsi="Times New Roman" w:eastAsia="仿宋_GB2312" w:cs="Times New Roman"/>
          <w:kern w:val="0"/>
          <w:sz w:val="28"/>
          <w:szCs w:val="28"/>
        </w:rPr>
      </w:pPr>
      <w:r>
        <w:rPr>
          <w:rFonts w:hint="eastAsia" w:ascii="Times New Roman" w:hAnsi="Times New Roman" w:eastAsia="仿宋" w:cs="Times New Roman"/>
          <w:sz w:val="28"/>
          <w:szCs w:val="28"/>
        </w:rPr>
        <w:t xml:space="preserve">          </w:t>
      </w:r>
      <w:r>
        <w:rPr>
          <w:rFonts w:hint="eastAsia" w:ascii="Times New Roman" w:hAnsi="Times New Roman" w:eastAsia="仿宋_GB2312" w:cs="Times New Roman"/>
          <w:kern w:val="0"/>
          <w:sz w:val="28"/>
          <w:szCs w:val="28"/>
        </w:rPr>
        <w:t>2、第三总承包工程公司安全违章处罚实施细则</w:t>
      </w: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甲方：（全称盖章）　　　　　　　　乙方：（全称盖章）</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　　</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法定代表或　　　　           　   法定代表或</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授权代理人：　　　　           　 委托代理人：</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ind w:firstLine="1260" w:firstLineChars="450"/>
        <w:rPr>
          <w:rFonts w:hint="default" w:ascii="Times New Roman" w:hAnsi="Times New Roman" w:eastAsia="仿宋_GB2312"/>
          <w:sz w:val="28"/>
          <w:szCs w:val="28"/>
        </w:rPr>
      </w:pPr>
      <w:r>
        <w:rPr>
          <w:rFonts w:hint="eastAsia" w:ascii="Times New Roman" w:hAnsi="Times New Roman" w:eastAsia="仿宋_GB2312"/>
          <w:sz w:val="28"/>
          <w:szCs w:val="28"/>
          <w:lang w:eastAsia="zh-CN"/>
        </w:rPr>
        <w:t>2021</w:t>
      </w:r>
      <w:r>
        <w:rPr>
          <w:rFonts w:ascii="Times New Roman" w:hAnsi="Times New Roman" w:eastAsia="仿宋_GB2312"/>
          <w:sz w:val="28"/>
          <w:szCs w:val="28"/>
          <w:u w:val="single"/>
        </w:rPr>
        <w:t>_</w:t>
      </w:r>
      <w:r>
        <w:rPr>
          <w:rFonts w:ascii="Times New Roman" w:hAnsi="Times New Roman" w:eastAsia="仿宋_GB2312"/>
          <w:sz w:val="28"/>
          <w:szCs w:val="28"/>
        </w:rPr>
        <w:t>年</w:t>
      </w:r>
      <w:r>
        <w:rPr>
          <w:rFonts w:ascii="Times New Roman" w:hAnsi="Times New Roman" w:eastAsia="仿宋_GB2312"/>
          <w:sz w:val="28"/>
          <w:szCs w:val="28"/>
          <w:u w:val="single"/>
        </w:rPr>
        <w:t>__</w:t>
      </w:r>
      <w:r>
        <w:rPr>
          <w:rFonts w:ascii="Times New Roman" w:hAnsi="Times New Roman" w:eastAsia="仿宋_GB2312"/>
          <w:sz w:val="28"/>
          <w:szCs w:val="28"/>
        </w:rPr>
        <w:t>月</w:t>
      </w:r>
      <w:r>
        <w:rPr>
          <w:rFonts w:ascii="Times New Roman" w:hAnsi="Times New Roman" w:eastAsia="仿宋_GB2312"/>
          <w:sz w:val="28"/>
          <w:szCs w:val="28"/>
          <w:u w:val="single"/>
        </w:rPr>
        <w:t>__</w:t>
      </w:r>
      <w:r>
        <w:rPr>
          <w:rFonts w:ascii="Times New Roman" w:hAnsi="Times New Roman" w:eastAsia="仿宋_GB2312"/>
          <w:sz w:val="28"/>
          <w:szCs w:val="28"/>
        </w:rPr>
        <w:t xml:space="preserve">日                   </w:t>
      </w:r>
      <w:r>
        <w:rPr>
          <w:rFonts w:hint="eastAsia" w:ascii="Times New Roman" w:hAnsi="Times New Roman" w:eastAsia="仿宋_GB2312"/>
          <w:sz w:val="28"/>
          <w:szCs w:val="28"/>
          <w:lang w:eastAsia="zh-CN"/>
        </w:rPr>
        <w:t>2021</w:t>
      </w:r>
      <w:r>
        <w:rPr>
          <w:rFonts w:ascii="Times New Roman" w:hAnsi="Times New Roman" w:eastAsia="仿宋_GB2312"/>
          <w:sz w:val="28"/>
          <w:szCs w:val="28"/>
          <w:u w:val="single"/>
        </w:rPr>
        <w:t>_</w:t>
      </w:r>
      <w:r>
        <w:rPr>
          <w:rFonts w:ascii="Times New Roman" w:hAnsi="Times New Roman" w:eastAsia="仿宋_GB2312"/>
          <w:sz w:val="28"/>
          <w:szCs w:val="28"/>
        </w:rPr>
        <w:t>年</w:t>
      </w:r>
      <w:r>
        <w:rPr>
          <w:rFonts w:ascii="Times New Roman" w:hAnsi="Times New Roman" w:eastAsia="仿宋_GB2312"/>
          <w:sz w:val="28"/>
          <w:szCs w:val="28"/>
          <w:u w:val="single"/>
        </w:rPr>
        <w:t>__</w:t>
      </w:r>
      <w:r>
        <w:rPr>
          <w:rFonts w:ascii="Times New Roman" w:hAnsi="Times New Roman" w:eastAsia="仿宋_GB2312"/>
          <w:sz w:val="28"/>
          <w:szCs w:val="28"/>
        </w:rPr>
        <w:t>月</w:t>
      </w:r>
      <w:r>
        <w:rPr>
          <w:rFonts w:ascii="Times New Roman" w:hAnsi="Times New Roman" w:eastAsia="仿宋_GB2312"/>
          <w:sz w:val="28"/>
          <w:szCs w:val="28"/>
          <w:u w:val="single"/>
        </w:rPr>
        <w:t>__</w:t>
      </w:r>
      <w:r>
        <w:rPr>
          <w:rFonts w:ascii="Times New Roman" w:hAnsi="Times New Roman" w:eastAsia="仿宋_GB2312"/>
          <w:sz w:val="28"/>
          <w:szCs w:val="28"/>
        </w:rPr>
        <w:t>日</w:t>
      </w:r>
    </w:p>
    <w:p>
      <w:pPr>
        <w:pStyle w:val="11"/>
        <w:spacing w:beforeAutospacing="0" w:afterAutospacing="0" w:line="360" w:lineRule="auto"/>
        <w:rPr>
          <w:rFonts w:hint="default" w:ascii="仿宋_GB2312" w:hAnsi="ˎ̥" w:eastAsia="仿宋_GB2312"/>
        </w:rPr>
        <w:sectPr>
          <w:headerReference r:id="rId3" w:type="default"/>
          <w:footerReference r:id="rId4" w:type="default"/>
          <w:pgSz w:w="11906" w:h="16838"/>
          <w:pgMar w:top="1417" w:right="1134" w:bottom="1417" w:left="1417" w:header="283" w:footer="283" w:gutter="0"/>
          <w:cols w:space="720" w:num="1"/>
          <w:docGrid w:type="lines" w:linePitch="317" w:charSpace="0"/>
        </w:sectPr>
      </w:pPr>
    </w:p>
    <w:p>
      <w:pPr>
        <w:pStyle w:val="11"/>
        <w:spacing w:beforeAutospacing="0" w:afterAutospacing="0" w:line="500" w:lineRule="exact"/>
        <w:rPr>
          <w:rFonts w:hint="default" w:ascii="仿宋_GB2312" w:hAnsi="ˎ̥" w:eastAsia="仿宋_GB2312"/>
          <w:sz w:val="28"/>
          <w:szCs w:val="28"/>
        </w:rPr>
      </w:pPr>
      <w:r>
        <w:rPr>
          <w:rFonts w:ascii="仿宋_GB2312" w:hAnsi="ˎ̥" w:eastAsia="仿宋_GB2312"/>
          <w:sz w:val="28"/>
          <w:szCs w:val="28"/>
        </w:rPr>
        <w:t>安全生产协议附件1.</w:t>
      </w:r>
    </w:p>
    <w:p>
      <w:pPr>
        <w:pStyle w:val="11"/>
        <w:spacing w:beforeAutospacing="0" w:afterAutospacing="0" w:line="560" w:lineRule="exact"/>
        <w:ind w:firstLine="1320" w:firstLineChars="300"/>
        <w:rPr>
          <w:rFonts w:hint="default" w:ascii="方正小标宋_GBK" w:eastAsia="方正小标宋_GBK"/>
          <w:sz w:val="44"/>
          <w:szCs w:val="44"/>
        </w:rPr>
      </w:pPr>
      <w:r>
        <w:rPr>
          <w:rFonts w:ascii="方正小标宋_GBK" w:eastAsia="方正小标宋_GBK"/>
          <w:sz w:val="44"/>
          <w:szCs w:val="44"/>
        </w:rPr>
        <w:t>重庆对外建设（集团）有限公司</w:t>
      </w:r>
    </w:p>
    <w:p>
      <w:pPr>
        <w:pStyle w:val="11"/>
        <w:spacing w:beforeAutospacing="0" w:afterAutospacing="0" w:line="560" w:lineRule="exact"/>
        <w:ind w:firstLine="2640" w:firstLineChars="600"/>
        <w:rPr>
          <w:rFonts w:hint="default" w:ascii="方正小标宋_GBK" w:eastAsia="方正小标宋_GBK"/>
          <w:sz w:val="44"/>
          <w:szCs w:val="44"/>
        </w:rPr>
      </w:pPr>
      <w:r>
        <w:rPr>
          <w:rFonts w:ascii="方正小标宋_GBK" w:eastAsia="方正小标宋_GBK"/>
          <w:sz w:val="44"/>
          <w:szCs w:val="44"/>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jc w:val="center"/>
              <w:rPr>
                <w:rFonts w:ascii="宋体" w:hAnsi="宋体" w:cs="宋体"/>
                <w:b/>
                <w:kern w:val="0"/>
                <w:sz w:val="20"/>
                <w:szCs w:val="20"/>
              </w:rPr>
            </w:pPr>
            <w:r>
              <w:rPr>
                <w:rFonts w:hint="eastAsia" w:ascii="宋体" w:hAnsi="宋体" w:cs="宋体"/>
                <w:b/>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一般隐患</w:t>
            </w: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安全管理机构和人员</w:t>
            </w:r>
          </w:p>
        </w:tc>
        <w:tc>
          <w:tcPr>
            <w:tcW w:w="3828"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eastAsia="宋体" w:cs="宋体"/>
                <w:sz w:val="20"/>
                <w:szCs w:val="20"/>
              </w:rPr>
              <w:t>未按规定设置安全管理机构和</w:t>
            </w:r>
            <w:r>
              <w:rPr>
                <w:rFonts w:hint="eastAsia" w:ascii="宋体" w:hAnsi="宋体" w:cs="宋体"/>
                <w:sz w:val="20"/>
                <w:szCs w:val="20"/>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人员不到位，差1人处罚1000元。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特种作业人员</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每发现1人处罚500元。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责任书签订缺失，每发现1人处罚1000元。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安全教育记录、花名册、技术交底记录缺失或不完整，每次处罚1000元。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施工用电</w:t>
            </w:r>
          </w:p>
        </w:tc>
        <w:tc>
          <w:tcPr>
            <w:tcW w:w="3828"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未按“TN-S”系统设置，线路铺设、漏电保护设施和外电防护不符合规范要求，接地、接零不到位，私搭乱接，电线裸插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每发现1处违规，处罚500元。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安全防护</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ascii="宋体" w:hAnsi="宋体" w:cs="宋体"/>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每发现一个架体违反规定处罚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常见违规</w:t>
            </w: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安全帽</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作业人员违规，每1人处罚500元。管理人员违规，每发现1人处罚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安全带</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每发现1人违规，处罚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tabs>
                <w:tab w:val="left" w:pos="876"/>
              </w:tabs>
              <w:rPr>
                <w:rFonts w:ascii="宋体" w:hAnsi="宋体" w:eastAsia="宋体" w:cs="宋体"/>
                <w:kern w:val="0"/>
                <w:sz w:val="20"/>
                <w:szCs w:val="20"/>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违规使用水壶电箱</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每发现1个，处罚500元。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auto" w:sz="4" w:space="0"/>
              <w:right w:val="single" w:color="000000" w:sz="8" w:space="0"/>
            </w:tcBorders>
            <w:vAlign w:val="center"/>
          </w:tcPr>
          <w:p>
            <w:pPr>
              <w:jc w:val="center"/>
              <w:rPr>
                <w:rFonts w:ascii="宋体" w:hAnsi="宋体" w:eastAsia="宋体" w:cs="宋体"/>
                <w:sz w:val="20"/>
                <w:szCs w:val="20"/>
              </w:rPr>
            </w:pPr>
            <w:r>
              <w:rPr>
                <w:rFonts w:hint="eastAsia" w:ascii="宋体" w:hAnsi="宋体" w:cs="宋体"/>
                <w:sz w:val="20"/>
                <w:szCs w:val="20"/>
              </w:rPr>
              <w:t>吊装作业</w:t>
            </w:r>
          </w:p>
        </w:tc>
        <w:tc>
          <w:tcPr>
            <w:tcW w:w="3828" w:type="dxa"/>
            <w:tcBorders>
              <w:top w:val="nil"/>
              <w:left w:val="nil"/>
              <w:bottom w:val="single" w:color="auto" w:sz="4"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未按“十不吊”原则违规吊装</w:t>
            </w:r>
          </w:p>
        </w:tc>
        <w:tc>
          <w:tcPr>
            <w:tcW w:w="2511" w:type="dxa"/>
            <w:tcBorders>
              <w:top w:val="nil"/>
              <w:left w:val="nil"/>
              <w:bottom w:val="single" w:color="auto" w:sz="4"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eastAsia="宋体" w:cs="宋体"/>
                <w:sz w:val="20"/>
                <w:szCs w:val="20"/>
              </w:rPr>
              <w:t>危险性较大的分部分项工程未编制安全专项施工方案，超过一定规模的未组织专家论证，未严格按照方案组织施工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tabs>
                <w:tab w:val="left" w:pos="633"/>
              </w:tabs>
              <w:jc w:val="left"/>
              <w:rPr>
                <w:rFonts w:ascii="宋体" w:hAnsi="宋体" w:eastAsia="宋体" w:cs="宋体"/>
                <w:kern w:val="0"/>
                <w:sz w:val="20"/>
                <w:szCs w:val="20"/>
              </w:rPr>
            </w:pPr>
            <w:r>
              <w:rPr>
                <w:rFonts w:hint="eastAsia" w:ascii="宋体" w:hAnsi="宋体" w:eastAsia="宋体" w:cs="宋体"/>
                <w:kern w:val="0"/>
                <w:sz w:val="20"/>
                <w:szCs w:val="20"/>
              </w:rPr>
              <w:t>立即停工整改，处罚5000元。继续实施的加重处罚10000元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ascii="宋体" w:hAnsi="宋体" w:cs="宋体"/>
                <w:kern w:val="0"/>
                <w:sz w:val="20"/>
                <w:szCs w:val="20"/>
              </w:rPr>
            </w:pPr>
            <w:r>
              <w:rPr>
                <w:rFonts w:hint="eastAsia" w:ascii="宋体" w:hAnsi="宋体" w:eastAsia="宋体" w:cs="宋体"/>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kern w:val="0"/>
                <w:sz w:val="20"/>
                <w:szCs w:val="20"/>
              </w:rPr>
              <w:t>立即停工整改，继续施工造成大面积垮塌和变形的处罚5000元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受限空间作业</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人工挖孔桩、顶管、隧道作业前未对有毒有害气体监测，无专业设施通风送气，无人员专用爬梯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施工吊篮</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cs="宋体"/>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每发现一台吊篮违反规定罚款</w:t>
            </w:r>
            <w:r>
              <w:rPr>
                <w:rFonts w:hint="eastAsia"/>
                <w:kern w:val="0"/>
                <w:sz w:val="20"/>
                <w:szCs w:val="20"/>
              </w:rPr>
              <w:t>1</w:t>
            </w:r>
            <w:r>
              <w:rPr>
                <w:kern w:val="0"/>
                <w:sz w:val="20"/>
                <w:szCs w:val="20"/>
              </w:rPr>
              <w:t>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禁止使用的工艺或设备</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悬挑式脚手架</w:t>
            </w:r>
          </w:p>
        </w:tc>
        <w:tc>
          <w:tcPr>
            <w:tcW w:w="3828" w:type="dxa"/>
            <w:tcBorders>
              <w:top w:val="nil"/>
              <w:left w:val="nil"/>
              <w:bottom w:val="single" w:color="000000" w:sz="8" w:space="0"/>
              <w:right w:val="single" w:color="000000" w:sz="8" w:space="0"/>
            </w:tcBorders>
            <w:vAlign w:val="center"/>
          </w:tcPr>
          <w:p>
            <w:pPr>
              <w:jc w:val="left"/>
              <w:rPr>
                <w:rFonts w:ascii="宋体" w:hAnsi="宋体" w:cs="宋体"/>
                <w:kern w:val="0"/>
                <w:sz w:val="20"/>
                <w:szCs w:val="20"/>
              </w:rPr>
            </w:pPr>
            <w:r>
              <w:rPr>
                <w:rFonts w:hint="eastAsia" w:ascii="宋体" w:hAnsi="宋体" w:eastAsia="宋体" w:cs="宋体"/>
                <w:sz w:val="20"/>
                <w:szCs w:val="20"/>
              </w:rPr>
              <w:t>悬挑式脚手架悬挑梁与结构连接不牢固或锚固段长度不符合设计要求，脚手架架体立杆未支撑受力在悬挑梁上，未使用钢压板板固定</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bCs/>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ascii="宋体" w:hAnsi="宋体" w:cs="宋体"/>
                <w:kern w:val="0"/>
                <w:sz w:val="20"/>
                <w:szCs w:val="20"/>
              </w:rPr>
            </w:pPr>
            <w:r>
              <w:rPr>
                <w:rFonts w:hint="eastAsia" w:ascii="宋体" w:hAnsi="宋体" w:eastAsia="宋体" w:cs="宋体"/>
                <w:bCs/>
                <w:sz w:val="20"/>
                <w:szCs w:val="20"/>
              </w:rPr>
              <w:t>附着式升降脚手架无防倾、防坠、同步升降装置，</w:t>
            </w:r>
            <w:r>
              <w:rPr>
                <w:rFonts w:hint="eastAsia" w:ascii="宋体" w:hAnsi="宋体" w:eastAsia="宋体" w:cs="宋体"/>
                <w:sz w:val="20"/>
                <w:szCs w:val="20"/>
              </w:rPr>
              <w:t>附着式升降脚手架架体严重变形，无备案和安装手续</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塔吊</w:t>
            </w:r>
          </w:p>
        </w:tc>
        <w:tc>
          <w:tcPr>
            <w:tcW w:w="3828"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jc w:val="center"/>
              <w:rPr>
                <w:rFonts w:ascii="宋体" w:hAnsi="宋体" w:cs="宋体"/>
                <w:kern w:val="0"/>
                <w:sz w:val="20"/>
                <w:szCs w:val="20"/>
              </w:rPr>
            </w:pPr>
          </w:p>
        </w:tc>
        <w:tc>
          <w:tcPr>
            <w:tcW w:w="1134" w:type="dxa"/>
            <w:tcBorders>
              <w:top w:val="nil"/>
              <w:left w:val="nil"/>
              <w:bottom w:val="single" w:color="auto" w:sz="4"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施工升降机</w:t>
            </w:r>
          </w:p>
        </w:tc>
        <w:tc>
          <w:tcPr>
            <w:tcW w:w="3828" w:type="dxa"/>
            <w:tcBorders>
              <w:top w:val="nil"/>
              <w:left w:val="nil"/>
              <w:bottom w:val="single" w:color="auto" w:sz="4" w:space="0"/>
              <w:right w:val="single" w:color="000000" w:sz="8"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r>
              <w:rPr>
                <w:rFonts w:hint="eastAsia"/>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kern w:val="0"/>
                <w:sz w:val="20"/>
                <w:szCs w:val="20"/>
              </w:rPr>
            </w:pPr>
            <w:r>
              <w:rPr>
                <w:rFonts w:hint="eastAsia" w:ascii="宋体" w:hAnsi="宋体" w:cs="宋体"/>
                <w:kern w:val="0"/>
                <w:sz w:val="20"/>
                <w:szCs w:val="20"/>
              </w:rPr>
              <w:t>现场无动火手续，板房未采用A级材料，易燃有毒物品未按要求存放和保管，加工区、库房、宿舍用电设备不符合规定，未配备消防灭火器材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检查处罚金额5000元记1分</w:t>
            </w:r>
          </w:p>
        </w:tc>
      </w:tr>
    </w:tbl>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Times New Roman" w:hAnsi="Times New Roman" w:eastAsia="仿宋"/>
          <w:sz w:val="28"/>
          <w:szCs w:val="28"/>
        </w:rPr>
      </w:pPr>
      <w:r>
        <w:rPr>
          <w:rFonts w:ascii="Times New Roman" w:hAnsi="Times New Roman" w:eastAsia="仿宋"/>
          <w:sz w:val="28"/>
          <w:szCs w:val="28"/>
        </w:rPr>
        <w:t>安全生产协议附件2.</w:t>
      </w:r>
    </w:p>
    <w:p>
      <w:pPr>
        <w:jc w:val="center"/>
        <w:rPr>
          <w:rFonts w:ascii="黑体" w:hAnsi="黑体" w:eastAsia="黑体" w:cs="Times New Roman"/>
          <w:kern w:val="0"/>
          <w:sz w:val="44"/>
          <w:szCs w:val="44"/>
        </w:rPr>
      </w:pPr>
      <w:r>
        <w:rPr>
          <w:rFonts w:hint="eastAsia" w:ascii="黑体" w:hAnsi="黑体" w:eastAsia="黑体" w:cs="Times New Roman"/>
          <w:kern w:val="0"/>
          <w:sz w:val="44"/>
          <w:szCs w:val="44"/>
        </w:rPr>
        <w:t>第三总承包工程公司</w:t>
      </w:r>
    </w:p>
    <w:p>
      <w:pPr>
        <w:jc w:val="center"/>
        <w:rPr>
          <w:rFonts w:ascii="黑体" w:hAnsi="黑体" w:eastAsia="黑体" w:cs="Times New Roman"/>
          <w:kern w:val="0"/>
          <w:sz w:val="44"/>
          <w:szCs w:val="44"/>
        </w:rPr>
      </w:pPr>
      <w:r>
        <w:rPr>
          <w:rFonts w:hint="eastAsia" w:ascii="黑体" w:hAnsi="黑体" w:eastAsia="黑体" w:cs="Times New Roman"/>
          <w:bCs/>
          <w:kern w:val="0"/>
          <w:sz w:val="44"/>
          <w:szCs w:val="44"/>
        </w:rPr>
        <w:t>安全违章处罚实施细则</w:t>
      </w:r>
    </w:p>
    <w:p>
      <w:pPr>
        <w:jc w:val="center"/>
        <w:rPr>
          <w:rFonts w:ascii="仿宋" w:hAnsi="仿宋" w:eastAsia="仿宋" w:cs="Times New Roman"/>
          <w:kern w:val="0"/>
          <w:szCs w:val="21"/>
        </w:rPr>
      </w:pPr>
      <w:r>
        <w:rPr>
          <w:rFonts w:hint="eastAsia" w:ascii="宋体" w:hAnsi="宋体" w:eastAsia="宋体" w:cs="宋体"/>
          <w:b/>
          <w:bCs/>
          <w:kern w:val="0"/>
          <w:sz w:val="36"/>
          <w:szCs w:val="36"/>
        </w:rPr>
        <w:t> </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第一条  【安全管理】各类安全检查中对有下列行为之一者，除要求立即整改外，对相关责任单位和个人按照以下规定处以经济罚款，情节严重的加倍处罚：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1、未建立健全各级安全生产责任制、安全检查制度、教育培训制度、安全交底制度、安全会议制度、班组安全活动等管理制度的，每缺一项，处罚1000元。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2、未编制或及时编制安全策划书的，予以处罚2000元。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3、未编制或及时编制安全文明施工费用计划的，予以处罚2000元。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4、未编制或及时编制安全风险评价报告的，并制定相应安全预防措施的，予以处罚2000元。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5、未按公司安全费用管理办法进行安全投入，或投入不足的，除按公司相应办法处理外，另予以处罚2000元。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6、未制定职业健康、环境保护方案、或防治措施不力的，予以处罚2000元。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7、违反特殊或极端天气（高温、高寒、大风等）作业规定、安全措施不到位的，予以处罚2000元。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8、未编制危险性较大分部分项工程安全专项施工方案的、编报滞后、或未按相关程序进行审批、论证的，立即停工整改，予以处罚5000元；继续实施的加重处罚10000元。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9、未及时与专业分包单位签订分包合同、安全生产管理协议、治安消防责任书，每缺一项处罚1000元。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11、工程分包给自然人或不具备安全生产条件、相应资质承包人施，均处罚2000元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12、新入场人员（包括新入场的管理人员（含实习生）、工人、农民工）未进行入场安全教育登记或技术交底，安全教育记录、花名册、技术交底记录缺失或不完整予以处罚1000元/次。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13、特种作业人员未持有效证件上岗，予以处罚500元/人次。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14、安全生产考核目标未进行分解，予以处罚500元。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15、未按规定足额配备专职安全生产管理人员，每缺一人，处罚1000元。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16、塔吊、施工电、梯龙门吊、架桥机等特种（大型）设备未办理使用备案登记手续，无使用，维修保养记录，处罚500元/次。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17、故意抵制、妨碍专职安全管理人员履行监管职责，情况较轻，未发生事故的，处罚500元；造成安全事故的，根据事故处罚进行处理。</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18、无安全管理资料或安全管理资料不完善、缺失较多，每缺一项，处罚500元。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19、购买或使用不符合安全要求的劳保用品，处罚1000元。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20、未定期开展安全检查或无安全隐患整改原始记录，处罚500元；安全检查开展不力、安全隐患整改原始记录不完善，处以200元/次罚款。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21、未按节点、要求传送安全图片影像资料的、未按质安部要求对隐患部位进行整改落实的，予以处罚500元/次。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22、项目负责人未按要求对现场存在的问题和隐患组织检查整改，检查处罚金额5000元记1分。</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23、其他违反安全管理规定的行为，视情况处以200-2000元罚款。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第二条  【文明施工】各类安全检查中对有下列行为之一者，除要求立即整改外，对相关责任单位和个人按照以下规定处以经济罚款，情节严重的加倍处罚：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1、未严格按照集团标准化系统布置施工现场，未按规定设置图牌标语宣传等，若有违规现象，处以1000元罚款。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2、粉尘、噪音、污水、垃圾未有效治理，施工扰民等造成投诉属实，处以2000元罚款。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3、未划分办公区、生活区、作业区，并分区管理，处以1000元罚款。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4、场地未硬化、积水或排水不畅通，予以处罚1000元。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5、无冲洗设施、无沉砂井，予以处罚1000元。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6、施工现场材料堆码零乱、无标识、无防护，予以处罚1000元。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7、宿舍脏、乱、差、乱拉乱接电线，私用大功率电器，予以处罚500元。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8、施工围挡残缺、破损、污染严重、字迹不齐、漏缺，予以处罚1000元。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9、外架安全网脏、破旧不堪的，予以处罚500元。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10、临边、洞口未按要求进行防护的，予以处罚500元/处。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11、存在较大危险因素的部位、地段未设置安全警示标志、标牌，予以处罚500元/处。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12、夜间作业未配备足够的照明设施，予以处罚500元。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13、易燃易爆、危化品管理违反相关规定，予以处罚1000。</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14、食堂无卫生许可证、炊事员无健康证，予以处罚500元/项；食堂设置距离厕所、垃圾站等污染源距离不符合要求的，予以处罚500元/项。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15、厕所未铺设防滑地砖，无隔断的，予以处罚500元/项。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16、人员着装未按集团要求着装，未按规定佩戴安全监督袖标。作业人员违规，每人处罚500元。管理人员违规，每人处罚1000元。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17、集团重点推广“智慧工地”的项目未按规定安装门禁刷卡智能设备、扬尘监控设备、远程视频监控设备、施工升降机驾驶员身份识别智能设备，每缺少一项处罚1000元。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18、其他违反文明施工的行为，视情况处以200-2000元罚款。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第三条  【安全纪律】各类检查中对有下列行为之一者，除要求立即整改外，对相关责任单位和个人按照以下规定处以经济罚款，情节严重的可以酌情加倍处罚：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1、班组无安全活动记录或作假记录，处以500元/次。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2、电工无巡查记录或作假记录，予以处罚200元/处，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3、无定期安全检查记录或安全值班记录，予以处罚500元/项。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4、未按规定正确使用（佩戴）安全帽等劳动保护用品或用具，予以处罚500元/人次；管理人员违规，予以处罚1000元/人次。高空作业未系安全带或安全带未固定在有效挂点，予以处罚1000元/人次。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5、酒后上岗作业，予以处罚1000元/人次。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6、施工现场赤脚或穿拖鞋、高跟鞋，予以处罚200元/人次。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7、高空作业穿硬底或带钉易滑的鞋靴，予以处罚200元/人次。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8、施工现场乱开玩笑、儿戏玩耍，追逐打闹，予以处罚500元/人次。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9、非专业人员随意玩弄或开动、操作机械、机电设备，予以处罚1000元/人次。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10、非特种作业人员从事特种作业 ，予以处罚500元/人次。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11、施工登高作业，不走安全梯道，随意攀爬排栅、架子上下，予以处罚500元/人次。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12、高处作业时随意往上或向下乱抛材料，工具和杂料，予以处罚500元/人次。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13、现场施工作业人员不服从领导指挥、安排，予以处罚500元/人次。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14、私自拆除安全设施、安全装置、警示标示、标牌，予以处罚500元/人次。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15、吊装作业未按“十不吊”原则违规吊装，每发现1次处罚1000元。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16、其他违反安全纪律的行为，视情况予以处罚200-2000元/人次。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第四条  【安全技术措施】各类检查中对有下列行为之一者，除要求立即整改外，对相关责任单位和个人按照以下规定处以经济罚款，情节严重的加倍处罚：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1、未搭设或未按规定设置临边防护，予以处罚500元/处。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2、未搭设或未按规定设置洞口防护，予以处罚500元/处。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3、脚手架未按规定设置连墙件或剪刀撑，予以处罚500元/处。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4、操作层脚手板未满铺，上下操作层无通道，予以处罚500元/处。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5、电梯井或脚手架内未按规定设置水平网，予以处罚500元/处。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6、沟、坑、井无上下通道或爬梯，上口无防护措施，予以处500元/处。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7、电梯（含施工电梯）防护门未工具化、定型化或安装不牢固、施工电梯楼层防护门未关闭，予以处罚500元/处。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8、安全网与钢管连接未使用与安全网同材质的尼龙绳或18#圆丝捆绑，予以处罚500元。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9、未执行保护接零、一机、一闸、一箱、一漏或漏电保护器失灵，予以处罚500元。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10、未执行“三级配电，两级保护”；用电设备无开关箱控制、直接接在二级箱上，予以处罚500元/处。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11、阴暗、潮湿环境或坑、井照明未使用安全电压，予以处罚500元/处。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12、宿舍照明未使用低压电或超负荷自动断电装置，予以处罚500元/处。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13、临时用电线路未采取架空或埋地或穿管保护敷设，予以处罚500元/处。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14、配电箱、开关箱未采用角钢制作支架，予以处罚200元/处。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15、整体提升架升降前后无书面升降记录，予以处罚500元/次。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16、人工插接的吊绳绳编结长度小于钢丝绳直径规定倍数，予以处罚500元/处。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17、卸料平台钢丝绳麻心已经腐烂、断裂、拉结点不符合要求的予以处罚500元。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18、基础施工无便道或不畅通、无防护栏杆，予以处罚500元/项。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19、施工垃圾未采用相应容器或管道运输，凌空抛掷，予以处罚500元/处。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20、预埋、剔打、植筋、支（拆）模、安装等高处作业无可靠保护措施，予以处罚500元/项。</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21、支模架搭设不规范或未按方案搭设，予以处罚2000元。脚手架和模支底部虚空、杆件缺失、无扫地杆和梁底支撑、未设纵横向水平剪刀撑，予以处罚1000元/架体。</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22、塔机、施工电梯等大型机械设备无安全装置及安全装置不灵敏，予以处罚500元/处。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23、挖孔桩作业前及作业中未送风或对地下有毒有害气体无检测、试验措施、未设置专用爬梯、防砸板的，每发现一处违反规定处罚1000元；使用电动葫芦上下人工挖孔桩，予以处罚1000元/次。</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24、挖孔桩渣土提升未按要求使用合格钢丝绳，未使用安全挂钩，井口作业人员未拴安全带、电动提升机械无限位装置，予以处罚500元/处。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25、垂直交叉作业无隔离防护措施，予以处罚1000元/处。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26、在悬挑外架、整体提升架上堆放施工料具,底部封闭不严密，予以处罚500元/处。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27、工具式型钢卸料平台无作业指导书（方案），予以处罚1000元/处。</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28、高切坡、高边坡未采取支护措施或防风化处理，立即停工整改，继续施工造成大面积垮塌和变形的处罚5000元。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29、施工吊篮超载超员（3人及以上作业），升降设施无保险卡或失效，作业人员无独立救生绳或未系，高处进出，高空抛物，每发现一台吊篮违反规定罚款1000元。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30、使用明令淘汰或者禁止使用的工艺或者设备（如：使用钢管搭设卸料平台或搭设悬挑架的、“少先吊”等），每发现一处违反规定处罚1000元。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31、悬挑式脚手架悬挑梁与结构连接不牢固或锚固段长度不符合设计要求，脚手架架体立杆未支撑受力在悬挑梁上，未使用钢压板板固定，每发现一处违反规定处罚1000元。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32、附着式升降脚手架无防倾、防坠、同步升降装置，附着式升降脚手架架体严重变形，无备案和安装手续，立即停工整改，违规使用处罚5000元。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33、塔吊基础积水，附着连接、标准节变形，螺栓松动，吊钩无保险，力矩、变幅、行走限制器及高度限位器失效，立即停工整改，违规使用处罚5000元。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34、施工升降机基础积水，进出防护门未关闭，限位器失效，导向轮不起作用，载重标志缺失，立即停工整改，违规使用处罚5000元。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35、其他违反安全技术规定的行为，视情况处以200-2000元经济罚款。</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第五条  【治安消防】各类检查中对有下列行为之一者，除要求立即整改外，对相关责任单位和个人按照以下规定处以一定的经济罚款，情节严重的加倍处罚：</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1、消防安全管理台帐未按相关要求建立的，予以处罚500元。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2、未按规定配备消防器材或消防器材配备不足，予以处罚1000元。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3、板房未采用A级阻燃材料，予以处罚1000元。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4、项目部未建立并落实消防安全责任制的保卫人员配备不足或年龄偏大，予以处罚500元。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5、故意损坏消防器材、设施，予以处罚1000元。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6、动火作业未办理动火许可证，予以处罚1000元。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7、动火作业无人监护或采取相应防护措施，予以处罚500元。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8、堵塞消防通道或消防通道不畅通，予以处罚500元。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9、项目部未建立并落实消防安全责任制的，予以处罚500元。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10、项目部与分包单位未签订治安消防合同的，予以处罚1000元。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11、打架斗殴、寻衅闹事、监守自盗，蓄意破坏公共财物，予以处罚2000元。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12、聚众闹事影响生产、工作秩序，影响企业声誉，予以处罚2000元。</w:t>
      </w:r>
    </w:p>
    <w:p>
      <w:pPr>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13、其他违反治安、消防规定的行为，视情况处以200-2000元经济罚款。 </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第六条  【特别条款】</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3.1逗留、静坐不走，超过一天；</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3.2逗留不走露宿公司过夜者；</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3.3滞留公司以任何形式进行娱乐活动；</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3.4占据公司会议室或办公室妨碍办公；</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3.6损害公司财物；</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3.7暴露身体妨碍办公；</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3.8制造危害自身安全的行为；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3.9溜放、杀害牲畜的行为；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3.10其他任何致使公司不能正常办公或对公司名誉造成损失，但未至公司被诚信评价系统作出不良记录或处理的行为。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4、处理上述事宜时，项目部有下述行为之一，公司对项目部处以每次不少于20000元的罚款：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4.1消极对待，任由事态拖延或扩大；</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4.2故意推诿，找借口，不处理；</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4.3到场但不积极主动处理；</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4.4拒不出面处理，也不保持有效通讯或联络；</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4.5拒不配合公司或第三方处理，也不服从公司或第三方处理安排；</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4.6对处理意见逾期执行，导致以上行为二次发生等。</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5、对有下述行为之一，公司对项目部处以每次不少于30000元的罚款。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5.1聚集人群堵塞公共交通、占（站）马路、围堵办公现场；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5.2集访政府部门、集访政府办公场所；</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5.3拉横幅集访、爬塔吊方式暴力讨薪；</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5.4导致公权机构参与协调或强制处理等后果的行为；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5.5其它任何导致公司社会效益明显受损的行为。</w:t>
      </w:r>
    </w:p>
    <w:p>
      <w:pPr>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第七条  【其它】</w:t>
      </w:r>
    </w:p>
    <w:p>
      <w:pPr>
        <w:ind w:firstLine="628"/>
        <w:rPr>
          <w:rFonts w:ascii="Times New Roman" w:hAnsi="Times New Roman" w:eastAsia="仿宋_GB2312" w:cs="Times New Roman"/>
          <w:kern w:val="0"/>
          <w:sz w:val="28"/>
          <w:szCs w:val="28"/>
        </w:rPr>
        <w:sectPr>
          <w:headerReference r:id="rId5" w:type="default"/>
          <w:footerReference r:id="rId6" w:type="default"/>
          <w:pgSz w:w="11906" w:h="16838"/>
          <w:pgMar w:top="1134" w:right="1417" w:bottom="1134" w:left="1417" w:header="283" w:footer="283" w:gutter="0"/>
          <w:cols w:space="0" w:num="1"/>
          <w:docGrid w:type="lines" w:linePitch="324" w:charSpace="0"/>
        </w:sectPr>
      </w:pPr>
      <w:r>
        <w:rPr>
          <w:rFonts w:hint="eastAsia" w:ascii="Times New Roman" w:hAnsi="Times New Roman" w:eastAsia="仿宋_GB2312" w:cs="Times New Roman"/>
          <w:kern w:val="0"/>
          <w:sz w:val="28"/>
          <w:szCs w:val="28"/>
        </w:rPr>
        <w:t>本细则自发布之日起实施。</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ind w:firstLine="1260" w:firstLineChars="450"/>
        <w:rPr>
          <w:rFonts w:hint="default" w:ascii="Times New Roman" w:hAnsi="Times New Roman" w:eastAsia="仿宋_GB2312"/>
          <w:sz w:val="28"/>
          <w:szCs w:val="28"/>
        </w:rPr>
      </w:pPr>
    </w:p>
    <w:p>
      <w:pPr>
        <w:pStyle w:val="11"/>
        <w:spacing w:beforeAutospacing="0" w:afterAutospacing="0" w:line="440" w:lineRule="exact"/>
        <w:ind w:firstLine="1260" w:firstLineChars="450"/>
        <w:rPr>
          <w:rFonts w:hint="default" w:ascii="Times New Roman" w:hAnsi="Times New Roman" w:eastAsia="仿宋_GB2312"/>
          <w:sz w:val="28"/>
          <w:szCs w:val="28"/>
        </w:rPr>
      </w:pPr>
    </w:p>
    <w:p>
      <w:pPr>
        <w:spacing w:line="360" w:lineRule="auto"/>
        <w:outlineLvl w:val="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专业分包合同附件1. 合同清单</w:t>
      </w:r>
    </w:p>
    <w:tbl>
      <w:tblPr>
        <w:tblStyle w:val="12"/>
        <w:tblW w:w="14936" w:type="dxa"/>
        <w:tblInd w:w="0" w:type="dxa"/>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CellMar>
            <w:top w:w="15" w:type="dxa"/>
            <w:left w:w="15" w:type="dxa"/>
            <w:bottom w:w="15" w:type="dxa"/>
            <w:right w:w="15" w:type="dxa"/>
          </w:tblCellMar>
        </w:tblPrEx>
        <w:trPr>
          <w:trHeight w:val="510" w:hRule="atLeast"/>
        </w:trPr>
        <w:tc>
          <w:tcPr>
            <w:tcW w:w="10360" w:type="dxa"/>
            <w:gridSpan w:val="7"/>
            <w:vAlign w:val="center"/>
          </w:tcPr>
          <w:p>
            <w:pPr>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lang w:bidi="ar"/>
              </w:rPr>
              <w:t>_____________</w:t>
            </w:r>
            <w:r>
              <w:rPr>
                <w:rFonts w:hint="eastAsia" w:ascii="黑体" w:hAnsi="宋体" w:eastAsia="黑体" w:cs="黑体"/>
                <w:color w:val="632423"/>
                <w:kern w:val="0"/>
                <w:sz w:val="40"/>
                <w:szCs w:val="40"/>
                <w:lang w:bidi="ar"/>
              </w:rPr>
              <w:t>（填：合同名称）</w:t>
            </w:r>
            <w:r>
              <w:rPr>
                <w:rFonts w:hint="eastAsia" w:ascii="黑体" w:hAnsi="宋体" w:eastAsia="黑体" w:cs="黑体"/>
                <w:color w:val="000000"/>
                <w:kern w:val="0"/>
                <w:sz w:val="40"/>
                <w:szCs w:val="40"/>
                <w:lang w:bidi="ar"/>
              </w:rPr>
              <w:t>合同清单</w:t>
            </w:r>
          </w:p>
        </w:tc>
        <w:tc>
          <w:tcPr>
            <w:tcW w:w="2288" w:type="dxa"/>
            <w:gridSpan w:val="2"/>
            <w:vAlign w:val="center"/>
          </w:tcPr>
          <w:p>
            <w:pPr>
              <w:rPr>
                <w:rFonts w:ascii="宋体" w:hAnsi="宋体" w:eastAsia="宋体" w:cs="宋体"/>
                <w:color w:val="000000"/>
                <w:kern w:val="0"/>
                <w:sz w:val="28"/>
                <w:szCs w:val="28"/>
                <w:lang w:bidi="ar"/>
              </w:rPr>
            </w:pPr>
          </w:p>
        </w:tc>
        <w:tc>
          <w:tcPr>
            <w:tcW w:w="2288" w:type="dxa"/>
            <w:gridSpan w:val="2"/>
            <w:vAlign w:val="center"/>
          </w:tcPr>
          <w:p>
            <w:pPr>
              <w:rPr>
                <w:rFonts w:ascii="宋体" w:hAnsi="宋体" w:eastAsia="宋体" w:cs="宋体"/>
                <w:color w:val="000000"/>
                <w:sz w:val="33"/>
                <w:szCs w:val="33"/>
              </w:rPr>
            </w:pPr>
            <w:r>
              <w:rPr>
                <w:rFonts w:hint="eastAsia" w:ascii="宋体" w:hAnsi="宋体" w:eastAsia="宋体" w:cs="宋体"/>
                <w:color w:val="000000"/>
                <w:kern w:val="0"/>
                <w:sz w:val="28"/>
                <w:szCs w:val="28"/>
                <w:lang w:bidi="ar"/>
              </w:rPr>
              <w:t>金额单位：元</w:t>
            </w:r>
          </w:p>
        </w:tc>
      </w:tr>
      <w:tr>
        <w:tblPrEx>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序号</w:t>
            </w:r>
          </w:p>
        </w:tc>
        <w:tc>
          <w:tcPr>
            <w:tcW w:w="2775"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项目或细目特征</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计量原则及单位</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暂定数量</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税前单价</w:t>
            </w: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税前合价</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税率</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kern w:val="0"/>
                <w:sz w:val="33"/>
                <w:szCs w:val="33"/>
                <w:lang w:bidi="ar"/>
              </w:rPr>
            </w:pPr>
            <w:r>
              <w:rPr>
                <w:rFonts w:hint="eastAsia" w:ascii="宋体" w:hAnsi="宋体" w:eastAsia="宋体" w:cs="宋体"/>
                <w:color w:val="000000"/>
                <w:kern w:val="0"/>
                <w:sz w:val="33"/>
                <w:szCs w:val="33"/>
                <w:lang w:bidi="ar"/>
              </w:rPr>
              <w:t>税后单价</w:t>
            </w: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税后合价</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1</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2</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3</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合计</w:t>
            </w:r>
          </w:p>
        </w:tc>
        <w:tc>
          <w:tcPr>
            <w:tcW w:w="2775"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220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kern w:val="0"/>
                <w:sz w:val="33"/>
                <w:szCs w:val="33"/>
                <w:lang w:bidi="ar"/>
              </w:rPr>
            </w:pPr>
            <w:r>
              <w:rPr>
                <w:rFonts w:ascii="Times New Roman" w:hAnsi="Times New Roman" w:eastAsia="宋体" w:cs="Times New Roman"/>
                <w:color w:val="000000"/>
                <w:kern w:val="0"/>
                <w:sz w:val="33"/>
                <w:szCs w:val="33"/>
                <w:lang w:bidi="ar"/>
              </w:rPr>
              <w:t>——</w:t>
            </w:r>
          </w:p>
        </w:tc>
        <w:tc>
          <w:tcPr>
            <w:tcW w:w="206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23" w:hRule="atLeast"/>
        </w:trPr>
        <w:tc>
          <w:tcPr>
            <w:tcW w:w="1049" w:type="dxa"/>
            <w:vAlign w:val="center"/>
          </w:tcPr>
          <w:p>
            <w:pPr>
              <w:spacing w:line="460" w:lineRule="exact"/>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说明：</w:t>
            </w:r>
          </w:p>
        </w:tc>
        <w:tc>
          <w:tcPr>
            <w:tcW w:w="10179" w:type="dxa"/>
            <w:gridSpan w:val="7"/>
            <w:vAlign w:val="center"/>
          </w:tcPr>
          <w:p>
            <w:pPr>
              <w:spacing w:line="460" w:lineRule="exact"/>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1</w:t>
            </w:r>
            <w:r>
              <w:rPr>
                <w:rStyle w:val="41"/>
                <w:rFonts w:hint="default"/>
                <w:lang w:bidi="ar"/>
              </w:rPr>
              <w:t>、税率按国家法律法规及政策执行。</w:t>
            </w:r>
          </w:p>
        </w:tc>
        <w:tc>
          <w:tcPr>
            <w:tcW w:w="1648" w:type="dxa"/>
            <w:gridSpan w:val="2"/>
            <w:vAlign w:val="center"/>
          </w:tcPr>
          <w:p>
            <w:pPr>
              <w:spacing w:line="460" w:lineRule="exact"/>
              <w:jc w:val="left"/>
              <w:rPr>
                <w:rFonts w:ascii="Times New Roman" w:hAnsi="Times New Roman" w:eastAsia="宋体" w:cs="Times New Roman"/>
                <w:color w:val="000000"/>
                <w:sz w:val="33"/>
                <w:szCs w:val="33"/>
              </w:rPr>
            </w:pPr>
          </w:p>
        </w:tc>
        <w:tc>
          <w:tcPr>
            <w:tcW w:w="2060" w:type="dxa"/>
            <w:vAlign w:val="center"/>
          </w:tcPr>
          <w:p>
            <w:pPr>
              <w:spacing w:line="460" w:lineRule="exact"/>
              <w:jc w:val="left"/>
              <w:rPr>
                <w:rFonts w:ascii="Times New Roman" w:hAnsi="Times New Roman" w:eastAsia="宋体" w:cs="Times New Roman"/>
                <w:color w:val="000000"/>
                <w:sz w:val="33"/>
                <w:szCs w:val="33"/>
              </w:rPr>
            </w:pPr>
          </w:p>
        </w:tc>
      </w:tr>
      <w:tr>
        <w:tblPrEx>
          <w:tblCellMar>
            <w:top w:w="15" w:type="dxa"/>
            <w:left w:w="15" w:type="dxa"/>
            <w:bottom w:w="15" w:type="dxa"/>
            <w:right w:w="15" w:type="dxa"/>
          </w:tblCellMar>
        </w:tblPrEx>
        <w:trPr>
          <w:trHeight w:val="23" w:hRule="atLeast"/>
        </w:trPr>
        <w:tc>
          <w:tcPr>
            <w:tcW w:w="1049" w:type="dxa"/>
            <w:vAlign w:val="center"/>
          </w:tcPr>
          <w:p>
            <w:pPr>
              <w:spacing w:line="460" w:lineRule="exact"/>
              <w:jc w:val="left"/>
              <w:rPr>
                <w:rFonts w:ascii="Times New Roman" w:hAnsi="Times New Roman" w:eastAsia="宋体" w:cs="Times New Roman"/>
                <w:color w:val="000000"/>
                <w:sz w:val="28"/>
                <w:szCs w:val="28"/>
              </w:rPr>
            </w:pPr>
          </w:p>
        </w:tc>
        <w:tc>
          <w:tcPr>
            <w:tcW w:w="10179" w:type="dxa"/>
            <w:gridSpan w:val="7"/>
            <w:vAlign w:val="center"/>
          </w:tcPr>
          <w:p>
            <w:pPr>
              <w:spacing w:line="460" w:lineRule="exact"/>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2</w:t>
            </w:r>
            <w:r>
              <w:rPr>
                <w:rStyle w:val="41"/>
                <w:rFonts w:hint="default"/>
                <w:lang w:bidi="ar"/>
              </w:rPr>
              <w:t>、（按需要补充说明。）</w:t>
            </w:r>
          </w:p>
        </w:tc>
        <w:tc>
          <w:tcPr>
            <w:tcW w:w="1648" w:type="dxa"/>
            <w:gridSpan w:val="2"/>
            <w:vAlign w:val="center"/>
          </w:tcPr>
          <w:p>
            <w:pPr>
              <w:spacing w:line="460" w:lineRule="exact"/>
              <w:jc w:val="left"/>
              <w:rPr>
                <w:rFonts w:ascii="Times New Roman" w:hAnsi="Times New Roman" w:eastAsia="宋体" w:cs="Times New Roman"/>
                <w:color w:val="000000"/>
                <w:sz w:val="33"/>
                <w:szCs w:val="33"/>
              </w:rPr>
            </w:pPr>
          </w:p>
        </w:tc>
        <w:tc>
          <w:tcPr>
            <w:tcW w:w="2060" w:type="dxa"/>
            <w:vAlign w:val="center"/>
          </w:tcPr>
          <w:p>
            <w:pPr>
              <w:spacing w:line="460" w:lineRule="exact"/>
              <w:jc w:val="left"/>
              <w:rPr>
                <w:rFonts w:ascii="Times New Roman" w:hAnsi="Times New Roman" w:eastAsia="宋体" w:cs="Times New Roman"/>
                <w:color w:val="000000"/>
                <w:sz w:val="33"/>
                <w:szCs w:val="33"/>
              </w:rPr>
            </w:pPr>
          </w:p>
        </w:tc>
      </w:tr>
    </w:tbl>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rPr>
          <w:rFonts w:ascii="宋体" w:hAnsi="宋体"/>
          <w:b/>
          <w:sz w:val="28"/>
          <w:szCs w:val="28"/>
        </w:rPr>
      </w:pPr>
    </w:p>
    <w:p>
      <w:pPr>
        <w:spacing w:line="560" w:lineRule="exact"/>
        <w:jc w:val="left"/>
        <w:rPr>
          <w:rFonts w:ascii="Calibri" w:hAnsi="Calibri" w:eastAsia="宋体" w:cs="宋体"/>
          <w:b/>
          <w:bCs/>
          <w:w w:val="90"/>
          <w:sz w:val="32"/>
          <w:szCs w:val="32"/>
        </w:rPr>
      </w:pPr>
      <w:r>
        <w:rPr>
          <w:rFonts w:hint="eastAsia" w:ascii="宋体" w:hAnsi="宋体"/>
          <w:b/>
          <w:sz w:val="28"/>
          <w:szCs w:val="28"/>
        </w:rPr>
        <w:t>第六部分  附表</w:t>
      </w:r>
      <w:bookmarkStart w:id="109" w:name="_Toc468157564"/>
      <w:bookmarkStart w:id="110" w:name="_Toc467236768"/>
      <w:bookmarkStart w:id="111" w:name="_Toc468606057"/>
      <w:bookmarkStart w:id="112" w:name="_Toc480020285"/>
      <w:bookmarkStart w:id="113" w:name="_Toc458262638"/>
      <w:bookmarkStart w:id="114" w:name="_Toc480021081"/>
      <w:bookmarkStart w:id="115" w:name="_Toc467987851"/>
      <w:bookmarkStart w:id="116" w:name="_Toc65998015"/>
      <w:bookmarkStart w:id="117" w:name="_Toc500861026"/>
      <w:bookmarkStart w:id="118" w:name="_Toc123786880"/>
      <w:bookmarkStart w:id="119" w:name="_Toc479991610"/>
      <w:bookmarkStart w:id="120" w:name="_Toc454701405"/>
      <w:bookmarkStart w:id="121" w:name="_Toc491658679"/>
      <w:bookmarkStart w:id="122" w:name="_Toc90779595"/>
      <w:bookmarkStart w:id="123" w:name="_Toc6727971"/>
      <w:bookmarkStart w:id="124" w:name="_Toc480010736"/>
      <w:bookmarkStart w:id="125" w:name="_Toc6397150"/>
    </w:p>
    <w:p>
      <w:pPr>
        <w:spacing w:line="560" w:lineRule="exact"/>
        <w:jc w:val="center"/>
        <w:rPr>
          <w:b/>
          <w:sz w:val="36"/>
          <w:szCs w:val="36"/>
        </w:rPr>
      </w:pPr>
      <w:r>
        <w:rPr>
          <w:rFonts w:hint="eastAsia" w:ascii="Calibri" w:hAnsi="Calibri" w:eastAsia="宋体" w:cs="宋体"/>
          <w:b/>
          <w:bCs/>
          <w:w w:val="90"/>
          <w:sz w:val="32"/>
          <w:szCs w:val="32"/>
        </w:rPr>
        <w:t>西大附中周边道路二期工程（一标段）土石方专业分包</w:t>
      </w: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2021-01-1026</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thick"/>
        </w:rPr>
        <w:t xml:space="preserve">                   </w:t>
      </w:r>
      <w:r>
        <w:rPr>
          <w:rFonts w:ascii="Calibri" w:hAnsi="Calibri" w:eastAsia="宋体" w:cs="宋体"/>
          <w:b/>
          <w:sz w:val="32"/>
          <w:szCs w:val="32"/>
          <w:u w:val="single"/>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ascii="Calibri" w:hAnsi="Calibri" w:eastAsia="宋体" w:cs="宋体"/>
          <w:b/>
          <w:sz w:val="32"/>
          <w:szCs w:val="32"/>
          <w:u w:val="single"/>
        </w:rPr>
        <w:t xml:space="preserve"> </w:t>
      </w:r>
      <w:r>
        <w:rPr>
          <w:rFonts w:hint="eastAsia" w:ascii="Calibri" w:hAnsi="Calibri" w:eastAsia="宋体" w:cs="宋体"/>
          <w:b/>
          <w:sz w:val="32"/>
          <w:szCs w:val="32"/>
        </w:rPr>
        <w:t>年   月   日</w:t>
      </w:r>
    </w:p>
    <w:p>
      <w:pPr>
        <w:adjustRightInd w:val="0"/>
        <w:snapToGrid w:val="0"/>
        <w:spacing w:line="560" w:lineRule="exact"/>
        <w:jc w:val="left"/>
        <w:rPr>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bookmarkStart w:id="126" w:name="_Toc123786881"/>
      <w:bookmarkStart w:id="127" w:name="_Toc26066260"/>
      <w:bookmarkStart w:id="128" w:name="_Toc500861027"/>
      <w:bookmarkStart w:id="129" w:name="_Toc6727972"/>
      <w:bookmarkStart w:id="130" w:name="_Toc90779596"/>
      <w:bookmarkStart w:id="131" w:name="_Toc65998016"/>
      <w:bookmarkStart w:id="132" w:name="_Toc6397151"/>
      <w:bookmarkStart w:id="133" w:name="_Toc491658680"/>
    </w:p>
    <w:p>
      <w:pPr>
        <w:jc w:val="left"/>
        <w:rPr>
          <w:rFonts w:ascii="宋体" w:hAnsi="宋体" w:eastAsia="宋体" w:cs="宋体"/>
          <w:sz w:val="20"/>
          <w:szCs w:val="20"/>
        </w:rPr>
      </w:pPr>
      <w:r>
        <w:rPr>
          <w:rFonts w:ascii="宋体" w:hAnsi="宋体" w:eastAsia="宋体" w:cs="宋体"/>
          <w:sz w:val="20"/>
          <w:szCs w:val="20"/>
        </w:rPr>
        <w:br w:type="page"/>
      </w:r>
    </w:p>
    <w:p>
      <w:pPr>
        <w:spacing w:line="520" w:lineRule="exact"/>
        <w:rPr>
          <w:rFonts w:ascii="宋体" w:hAnsi="宋体" w:eastAsia="宋体" w:cs="宋体"/>
          <w:sz w:val="20"/>
          <w:szCs w:val="20"/>
        </w:rPr>
      </w:pPr>
      <w:r>
        <w:rPr>
          <w:rFonts w:hint="eastAsia" w:ascii="宋体" w:hAnsi="宋体" w:eastAsia="宋体" w:cs="宋体"/>
          <w:sz w:val="20"/>
          <w:szCs w:val="20"/>
        </w:rPr>
        <w:t>附表一：投标函</w:t>
      </w:r>
    </w:p>
    <w:p>
      <w:pPr>
        <w:spacing w:line="52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tabs>
          <w:tab w:val="left" w:pos="670"/>
          <w:tab w:val="center" w:pos="4252"/>
        </w:tabs>
        <w:spacing w:line="520" w:lineRule="exact"/>
        <w:jc w:val="left"/>
        <w:rPr>
          <w:rFonts w:ascii="宋体" w:hAnsi="宋体" w:cs="宋体"/>
          <w:sz w:val="28"/>
          <w:szCs w:val="28"/>
        </w:rPr>
      </w:pPr>
      <w:r>
        <w:rPr>
          <w:rFonts w:hint="eastAsia" w:ascii="宋体" w:hAnsi="宋体" w:cs="宋体"/>
          <w:sz w:val="28"/>
          <w:szCs w:val="28"/>
        </w:rPr>
        <w:t xml:space="preserve">   我方已仔细研究了</w:t>
      </w:r>
      <w:r>
        <w:rPr>
          <w:rFonts w:hint="eastAsia" w:ascii="宋体" w:hAnsi="宋体" w:cs="宋体" w:eastAsiaTheme="minorEastAsia"/>
          <w:b w:val="0"/>
          <w:bCs w:val="0"/>
          <w:w w:val="100"/>
          <w:sz w:val="28"/>
          <w:szCs w:val="28"/>
          <w:u w:val="single"/>
        </w:rPr>
        <w:t>西大附中周边道路二期工程（一标段）</w:t>
      </w:r>
      <w:r>
        <w:rPr>
          <w:rFonts w:hint="eastAsia" w:ascii="宋体" w:hAnsi="宋体" w:cs="宋体"/>
          <w:sz w:val="28"/>
          <w:szCs w:val="28"/>
          <w:u w:val="single"/>
        </w:rPr>
        <w:t>土石方专业分包</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spacing w:line="520" w:lineRule="exact"/>
        <w:jc w:val="left"/>
        <w:rPr>
          <w:rFonts w:ascii="宋体" w:hAnsi="宋体"/>
          <w:sz w:val="28"/>
          <w:szCs w:val="28"/>
        </w:rPr>
      </w:pPr>
      <w:r>
        <w:rPr>
          <w:rFonts w:hint="eastAsia" w:ascii="宋体" w:hAnsi="宋体"/>
          <w:sz w:val="28"/>
          <w:szCs w:val="28"/>
        </w:rPr>
        <w:t>我方同意以下内容：</w:t>
      </w:r>
    </w:p>
    <w:p>
      <w:pPr>
        <w:spacing w:line="520" w:lineRule="exact"/>
        <w:rPr>
          <w:rFonts w:ascii="宋体" w:hAnsi="宋体"/>
          <w:sz w:val="28"/>
          <w:szCs w:val="28"/>
        </w:rPr>
      </w:pPr>
      <w:r>
        <w:rPr>
          <w:rFonts w:hint="eastAsia" w:ascii="宋体" w:hAnsi="宋体"/>
          <w:sz w:val="28"/>
          <w:szCs w:val="28"/>
        </w:rPr>
        <w:t>1.本次投标所报内容完全按照招采文件要求填报，所有内容都是真实、准确的。</w:t>
      </w:r>
    </w:p>
    <w:p>
      <w:pPr>
        <w:spacing w:line="520" w:lineRule="exact"/>
        <w:rPr>
          <w:rFonts w:ascii="宋体" w:hAnsi="宋体"/>
          <w:sz w:val="28"/>
          <w:szCs w:val="28"/>
        </w:rPr>
      </w:pPr>
      <w:r>
        <w:rPr>
          <w:rFonts w:hint="eastAsia" w:ascii="宋体" w:hAnsi="宋体"/>
          <w:sz w:val="28"/>
          <w:szCs w:val="28"/>
        </w:rPr>
        <w:t>2.投标人将按招采文件的规定履行全部合同责任和义务。</w:t>
      </w:r>
    </w:p>
    <w:p>
      <w:pPr>
        <w:spacing w:line="520" w:lineRule="exact"/>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sz w:val="28"/>
          <w:szCs w:val="28"/>
        </w:rPr>
      </w:pPr>
      <w:r>
        <w:rPr>
          <w:rFonts w:hint="eastAsia" w:ascii="宋体" w:hAnsi="宋体"/>
          <w:sz w:val="28"/>
          <w:szCs w:val="28"/>
        </w:rPr>
        <w:t>4.若有违反招采文件相关规定，投标人完全承担由己方责任造成的一切后果。</w:t>
      </w:r>
    </w:p>
    <w:p>
      <w:pPr>
        <w:spacing w:line="52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520" w:lineRule="exact"/>
        <w:rPr>
          <w:rFonts w:ascii="宋体" w:hAnsi="宋体"/>
          <w:sz w:val="28"/>
          <w:szCs w:val="28"/>
        </w:rPr>
      </w:pPr>
      <w:r>
        <w:rPr>
          <w:rFonts w:hint="eastAsia" w:ascii="宋体" w:hAnsi="宋体"/>
          <w:sz w:val="28"/>
          <w:szCs w:val="28"/>
        </w:rPr>
        <w:t>6.投标人接受招采文件中提出的其他相关要求。</w:t>
      </w:r>
    </w:p>
    <w:p>
      <w:pPr>
        <w:spacing w:line="520" w:lineRule="exact"/>
        <w:rPr>
          <w:rFonts w:ascii="宋体" w:hAnsi="宋体"/>
          <w:sz w:val="28"/>
          <w:szCs w:val="28"/>
        </w:rPr>
      </w:pPr>
      <w:r>
        <w:rPr>
          <w:rFonts w:hint="eastAsia" w:ascii="宋体" w:hAnsi="宋体"/>
          <w:sz w:val="28"/>
          <w:szCs w:val="28"/>
        </w:rPr>
        <w:t>投标人名称：（盖公章）</w:t>
      </w:r>
    </w:p>
    <w:p>
      <w:pPr>
        <w:spacing w:line="520" w:lineRule="exact"/>
        <w:rPr>
          <w:rFonts w:ascii="宋体" w:hAnsi="宋体"/>
          <w:sz w:val="28"/>
          <w:szCs w:val="28"/>
        </w:rPr>
      </w:pPr>
      <w:r>
        <w:rPr>
          <w:rFonts w:hint="eastAsia" w:ascii="宋体" w:hAnsi="宋体"/>
          <w:sz w:val="28"/>
          <w:szCs w:val="28"/>
        </w:rPr>
        <w:t xml:space="preserve">法定代表人或委托代理人：（签字） </w:t>
      </w:r>
    </w:p>
    <w:p>
      <w:pPr>
        <w:spacing w:line="520" w:lineRule="exact"/>
        <w:rPr>
          <w:rFonts w:ascii="宋体" w:hAnsi="宋体"/>
          <w:sz w:val="28"/>
          <w:szCs w:val="28"/>
        </w:rPr>
      </w:pPr>
      <w:r>
        <w:rPr>
          <w:rFonts w:hint="eastAsia" w:ascii="宋体" w:hAnsi="宋体"/>
          <w:sz w:val="28"/>
          <w:szCs w:val="28"/>
        </w:rPr>
        <w:t xml:space="preserve">开 户 行： </w:t>
      </w:r>
    </w:p>
    <w:p>
      <w:pPr>
        <w:spacing w:line="520" w:lineRule="exact"/>
        <w:rPr>
          <w:rFonts w:ascii="宋体" w:hAnsi="宋体"/>
          <w:sz w:val="28"/>
          <w:szCs w:val="28"/>
        </w:rPr>
      </w:pPr>
      <w:r>
        <w:rPr>
          <w:rFonts w:hint="eastAsia" w:ascii="宋体" w:hAnsi="宋体"/>
          <w:sz w:val="28"/>
          <w:szCs w:val="28"/>
        </w:rPr>
        <w:t xml:space="preserve">户    名： </w:t>
      </w:r>
    </w:p>
    <w:p>
      <w:pPr>
        <w:spacing w:line="520" w:lineRule="exact"/>
        <w:rPr>
          <w:rFonts w:ascii="宋体" w:hAnsi="宋体"/>
          <w:sz w:val="28"/>
          <w:szCs w:val="28"/>
        </w:rPr>
      </w:pPr>
      <w:r>
        <w:rPr>
          <w:rFonts w:hint="eastAsia" w:ascii="宋体" w:hAnsi="宋体"/>
          <w:sz w:val="28"/>
          <w:szCs w:val="28"/>
        </w:rPr>
        <w:t xml:space="preserve">账   号： </w:t>
      </w:r>
    </w:p>
    <w:p>
      <w:pPr>
        <w:spacing w:line="520" w:lineRule="exact"/>
        <w:rPr>
          <w:rFonts w:ascii="宋体" w:hAnsi="宋体"/>
          <w:sz w:val="28"/>
          <w:szCs w:val="28"/>
        </w:rPr>
      </w:pPr>
      <w:r>
        <w:rPr>
          <w:rFonts w:hint="eastAsia" w:ascii="宋体" w:hAnsi="宋体"/>
          <w:sz w:val="28"/>
          <w:szCs w:val="28"/>
        </w:rPr>
        <w:t>投标人地址：</w:t>
      </w:r>
    </w:p>
    <w:p>
      <w:pPr>
        <w:spacing w:line="520" w:lineRule="exact"/>
        <w:rPr>
          <w:rFonts w:ascii="宋体" w:hAnsi="宋体"/>
          <w:sz w:val="28"/>
          <w:szCs w:val="28"/>
        </w:rPr>
      </w:pPr>
      <w:r>
        <w:rPr>
          <w:rFonts w:hint="eastAsia" w:ascii="宋体" w:hAnsi="宋体"/>
          <w:sz w:val="28"/>
          <w:szCs w:val="28"/>
        </w:rPr>
        <w:t>投标人电话：       投标人传真：</w:t>
      </w:r>
    </w:p>
    <w:p>
      <w:pPr>
        <w:spacing w:line="520" w:lineRule="exact"/>
        <w:rPr>
          <w:rFonts w:ascii="宋体" w:hAnsi="宋体"/>
          <w:sz w:val="28"/>
          <w:szCs w:val="28"/>
        </w:rPr>
      </w:pPr>
      <w:r>
        <w:rPr>
          <w:rFonts w:hint="eastAsia" w:ascii="宋体" w:hAnsi="宋体"/>
          <w:sz w:val="28"/>
          <w:szCs w:val="28"/>
        </w:rPr>
        <w:t>日期：年月日</w:t>
      </w:r>
    </w:p>
    <w:bookmarkEnd w:id="126"/>
    <w:p>
      <w:pPr>
        <w:rPr>
          <w:rFonts w:ascii="宋体" w:hAnsi="宋体"/>
          <w:szCs w:val="21"/>
        </w:rPr>
      </w:pPr>
      <w:bookmarkStart w:id="134" w:name="_Toc123786886"/>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tabs>
          <w:tab w:val="left" w:pos="670"/>
          <w:tab w:val="center" w:pos="4252"/>
        </w:tabs>
        <w:spacing w:line="360" w:lineRule="auto"/>
        <w:jc w:val="left"/>
        <w:rPr>
          <w:rFonts w:ascii="宋体" w:hAnsi="宋体"/>
          <w:kern w:val="0"/>
          <w:sz w:val="28"/>
          <w:szCs w:val="28"/>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sz w:val="28"/>
          <w:szCs w:val="28"/>
          <w:u w:val="single"/>
        </w:rPr>
        <w:t xml:space="preserve"> </w:t>
      </w:r>
      <w:r>
        <w:rPr>
          <w:rFonts w:ascii="宋体" w:hAnsi="宋体"/>
          <w:kern w:val="0"/>
          <w:sz w:val="28"/>
          <w:szCs w:val="28"/>
          <w:u w:val="single"/>
        </w:rPr>
        <w:t xml:space="preserve"> </w:t>
      </w:r>
      <w:r>
        <w:rPr>
          <w:rFonts w:hint="eastAsia" w:ascii="宋体" w:hAnsi="宋体" w:eastAsiaTheme="minorEastAsia" w:cstheme="minorBidi"/>
          <w:b w:val="0"/>
          <w:bCs w:val="0"/>
          <w:w w:val="100"/>
          <w:kern w:val="0"/>
          <w:sz w:val="28"/>
          <w:szCs w:val="28"/>
          <w:u w:val="single"/>
        </w:rPr>
        <w:t>西大附中周边道路二期工程（一标段）</w:t>
      </w:r>
      <w:r>
        <w:rPr>
          <w:rFonts w:hint="eastAsia" w:ascii="宋体" w:hAnsi="宋体"/>
          <w:kern w:val="0"/>
          <w:sz w:val="28"/>
          <w:szCs w:val="28"/>
          <w:u w:val="single"/>
        </w:rPr>
        <w:t>土石方专业分包</w:t>
      </w:r>
      <w:r>
        <w:rPr>
          <w:rFonts w:hint="eastAsia" w:ascii="宋体" w:hAnsi="宋体"/>
          <w:kern w:val="0"/>
          <w:sz w:val="28"/>
          <w:szCs w:val="28"/>
        </w:rPr>
        <w:t xml:space="preserve"> </w:t>
      </w:r>
      <w:r>
        <w:rPr>
          <w:rFonts w:hint="eastAsia" w:ascii="宋体" w:hAnsi="宋体"/>
          <w:sz w:val="28"/>
          <w:szCs w:val="28"/>
        </w:rPr>
        <w:t>（项目名称）招采（招采编号：</w:t>
      </w:r>
      <w:r>
        <w:rPr>
          <w:rFonts w:hint="eastAsia" w:ascii="宋体" w:hAnsi="宋体" w:cstheme="minorBidi"/>
          <w:kern w:val="0"/>
          <w:sz w:val="28"/>
          <w:szCs w:val="28"/>
          <w:u w:val="single"/>
          <w:lang w:val="en-US" w:eastAsia="zh-CN"/>
        </w:rPr>
        <w:t>2021</w:t>
      </w:r>
      <w:r>
        <w:rPr>
          <w:rFonts w:hint="eastAsia" w:ascii="宋体" w:hAnsi="宋体" w:eastAsiaTheme="minorEastAsia" w:cstheme="minorBidi"/>
          <w:kern w:val="0"/>
          <w:sz w:val="28"/>
          <w:szCs w:val="28"/>
          <w:u w:val="single"/>
          <w:lang w:val="en-US" w:eastAsia="zh-CN"/>
        </w:rPr>
        <w:t>-01-1026</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w:pict>
          <v:rect id="Rectangle 2" o:spid="_x0000_s1036" o:spt="1" style="position:absolute;left:0pt;margin-left:-1.15pt;margin-top:5.55pt;height:162.05pt;width:422.85pt;z-index:251663360;mso-width-relative:page;mso-height-relative:page;" coordsize="21600,21600">
            <v:path/>
            <v:fill focussize="0,0"/>
            <v:stroke/>
            <v:imagedata o:title=""/>
            <o:lock v:ext="edit"/>
            <v:textbox>
              <w:txbxContent>
                <w:p/>
              </w:txbxContent>
            </v:textbox>
          </v:rect>
        </w:pic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zCs w:val="21"/>
        </w:rPr>
      </w:pPr>
      <w:r>
        <w:rPr>
          <w:rFonts w:hint="eastAsia" w:ascii="宋体" w:hAnsi="宋体" w:eastAsia="宋体" w:cs="Times New Roman"/>
          <w:bCs/>
          <w:sz w:val="28"/>
          <w:szCs w:val="28"/>
        </w:rPr>
        <w:br w:type="page"/>
      </w:r>
      <w:bookmarkStart w:id="135" w:name="_Toc123786882"/>
      <w:bookmarkStart w:id="136" w:name="_Toc123786884"/>
      <w:r>
        <w:rPr>
          <w:rFonts w:hint="eastAsia" w:ascii="宋体" w:hAnsi="宋体"/>
          <w:szCs w:val="21"/>
        </w:rPr>
        <w:t>附表三：法定代表人授权书</w:t>
      </w:r>
      <w:bookmarkEnd w:id="135"/>
    </w:p>
    <w:p>
      <w:pPr>
        <w:tabs>
          <w:tab w:val="left" w:pos="670"/>
          <w:tab w:val="center" w:pos="4252"/>
        </w:tabs>
        <w:spacing w:line="360" w:lineRule="auto"/>
        <w:jc w:val="center"/>
        <w:rPr>
          <w:rFonts w:ascii="宋体" w:hAnsi="宋体"/>
          <w:kern w:val="0"/>
          <w:sz w:val="28"/>
          <w:szCs w:val="28"/>
          <w:u w:val="single"/>
        </w:rPr>
      </w:pPr>
      <w:r>
        <w:rPr>
          <w:rFonts w:hint="eastAsia" w:ascii="宋体" w:hAnsi="宋体"/>
          <w:kern w:val="0"/>
          <w:sz w:val="28"/>
          <w:szCs w:val="28"/>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 xml:space="preserve"> 重庆对外建设（集团）有限公司 </w:t>
      </w:r>
      <w:r>
        <w:rPr>
          <w:rFonts w:hint="eastAsia" w:ascii="宋体" w:hAnsi="宋体"/>
          <w:kern w:val="0"/>
          <w:sz w:val="28"/>
          <w:szCs w:val="28"/>
        </w:rPr>
        <w:t>（招采单位）组织的</w:t>
      </w:r>
      <w:r>
        <w:rPr>
          <w:rFonts w:hint="eastAsia" w:ascii="宋体" w:hAnsi="宋体"/>
          <w:sz w:val="28"/>
          <w:szCs w:val="28"/>
          <w:u w:val="single"/>
        </w:rPr>
        <w:t xml:space="preserve"> </w:t>
      </w:r>
      <w:r>
        <w:rPr>
          <w:rFonts w:hint="eastAsia" w:ascii="宋体" w:hAnsi="宋体" w:cs="宋体" w:eastAsiaTheme="minorEastAsia"/>
          <w:b w:val="0"/>
          <w:bCs w:val="0"/>
          <w:w w:val="100"/>
          <w:sz w:val="28"/>
          <w:szCs w:val="28"/>
          <w:u w:val="single"/>
        </w:rPr>
        <w:t>西大附中周边道路二期工程（一标段）</w:t>
      </w:r>
      <w:r>
        <w:rPr>
          <w:rFonts w:hint="eastAsia" w:ascii="宋体" w:hAnsi="宋体" w:cs="宋体"/>
          <w:sz w:val="28"/>
          <w:szCs w:val="28"/>
          <w:u w:val="single"/>
        </w:rPr>
        <w:t>土石方专业分包</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eastAsia="宋体" w:cs="宋体"/>
          <w:sz w:val="28"/>
          <w:szCs w:val="22"/>
          <w:lang w:val="en-US" w:eastAsia="zh-CN"/>
        </w:rPr>
        <w:t>2021-01-1026</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w:pict>
          <v:rect id="_x0000_s1037" o:spid="_x0000_s1037" o:spt="1" style="position:absolute;left:0pt;margin-left:7.8pt;margin-top:24.45pt;height:162.05pt;width:422.85pt;z-index:251665408;mso-width-relative:page;mso-height-relative:page;" coordsize="21600,21600">
            <v:path/>
            <v:fill focussize="0,0"/>
            <v:stroke/>
            <v:imagedata o:title=""/>
            <o:lock v:ext="edit"/>
            <v:textbox>
              <w:txbxContent>
                <w:p/>
              </w:txbxContent>
            </v:textbox>
          </v:rect>
        </w:pict>
      </w:r>
      <w:r>
        <w:rPr>
          <w:rFonts w:hint="eastAsia" w:ascii="宋体" w:hAnsi="宋体"/>
          <w:sz w:val="28"/>
          <w:szCs w:val="28"/>
        </w:rPr>
        <w:t>附：委托代理人的身份证复印件：</w:t>
      </w:r>
      <w:r>
        <w:rPr>
          <w:rFonts w:ascii="宋体" w:hAnsi="宋体"/>
          <w:sz w:val="28"/>
          <w:szCs w:val="28"/>
        </w:rPr>
        <w:t xml:space="preserve"> </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61"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jc w:val="left"/>
        <w:rPr>
          <w:rFonts w:ascii="宋体" w:hAnsi="宋体" w:eastAsia="宋体" w:cs="宋体"/>
          <w:szCs w:val="21"/>
        </w:rPr>
      </w:pPr>
    </w:p>
    <w:p>
      <w:pPr>
        <w:jc w:val="left"/>
        <w:rPr>
          <w:rFonts w:ascii="宋体" w:hAnsi="宋体" w:eastAsia="宋体" w:cs="宋体"/>
          <w:szCs w:val="21"/>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专业分包资质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szCs w:val="21"/>
        </w:rPr>
      </w:pPr>
    </w:p>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jc w:val="left"/>
        <w:rPr>
          <w:rFonts w:ascii="宋体" w:hAnsi="宋体" w:eastAsia="宋体" w:cs="宋体"/>
          <w:sz w:val="28"/>
          <w:szCs w:val="28"/>
        </w:rPr>
      </w:pPr>
    </w:p>
    <w:p>
      <w:pPr>
        <w:rPr>
          <w:rFonts w:ascii="宋体" w:hAnsi="宋体" w:eastAsia="宋体" w:cs="宋体"/>
          <w:sz w:val="28"/>
          <w:szCs w:val="28"/>
        </w:rPr>
      </w:pPr>
    </w:p>
    <w:bookmarkEnd w:id="136"/>
    <w:p>
      <w:pPr>
        <w:rPr>
          <w:rFonts w:ascii="宋体" w:hAnsi="宋体" w:eastAsia="宋体" w:cs="宋体"/>
          <w:szCs w:val="21"/>
        </w:rPr>
      </w:pPr>
      <w:r>
        <w:rPr>
          <w:rFonts w:hint="eastAsia" w:ascii="宋体" w:hAnsi="宋体" w:eastAsia="宋体" w:cs="宋体"/>
          <w:szCs w:val="21"/>
        </w:rPr>
        <w:t>附表五：投标申请人情况</w:t>
      </w:r>
    </w:p>
    <w:p>
      <w:pPr>
        <w:rPr>
          <w:rFonts w:ascii="宋体" w:hAnsi="宋体" w:eastAsia="宋体" w:cs="宋体"/>
          <w:szCs w:val="21"/>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465"/>
        <w:gridCol w:w="1603"/>
        <w:gridCol w:w="3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法定代表人</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联系电话</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营业执照号</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成立时间</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资质等级</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资质等级证书号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专业类别</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安全生产许可证号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开户银行</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基本账号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注册资金</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邮政编码</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sectPr>
          <w:headerReference r:id="rId7" w:type="default"/>
          <w:footerReference r:id="rId8" w:type="default"/>
          <w:pgSz w:w="11906" w:h="16838"/>
          <w:pgMar w:top="1417" w:right="1134" w:bottom="1417" w:left="1417" w:header="283" w:footer="283" w:gutter="0"/>
          <w:cols w:space="0" w:num="1"/>
          <w:docGrid w:type="lines" w:linePitch="322" w:charSpace="0"/>
        </w:sectPr>
      </w:pPr>
    </w:p>
    <w:p>
      <w:pPr>
        <w:rPr>
          <w:rFonts w:ascii="宋体" w:hAnsi="宋体"/>
          <w:szCs w:val="21"/>
        </w:rPr>
      </w:pPr>
      <w:r>
        <w:rPr>
          <w:rFonts w:hint="eastAsia" w:ascii="宋体" w:hAnsi="宋体"/>
          <w:szCs w:val="21"/>
        </w:rPr>
        <w:t>附表六：投标报价表</w:t>
      </w:r>
    </w:p>
    <w:p>
      <w:pPr>
        <w:tabs>
          <w:tab w:val="left" w:pos="670"/>
          <w:tab w:val="center" w:pos="4252"/>
        </w:tabs>
        <w:spacing w:line="360" w:lineRule="auto"/>
        <w:jc w:val="center"/>
        <w:rPr>
          <w:rFonts w:ascii="宋体" w:hAnsi="宋体" w:cs="宋体"/>
          <w:b/>
          <w:bCs/>
          <w:sz w:val="28"/>
          <w:szCs w:val="28"/>
        </w:rPr>
      </w:pPr>
      <w:r>
        <w:rPr>
          <w:rFonts w:hint="eastAsia" w:ascii="宋体" w:hAnsi="宋体" w:eastAsia="宋体" w:cs="宋体"/>
          <w:bCs/>
          <w:sz w:val="28"/>
          <w:szCs w:val="22"/>
        </w:rPr>
        <w:t>西大附中周边道路二期工程（一标段）土石方专业分包</w:t>
      </w:r>
    </w:p>
    <w:p>
      <w:pPr>
        <w:jc w:val="center"/>
        <w:rPr>
          <w:rFonts w:ascii="宋体" w:hAnsi="宋体" w:cs="宋体"/>
          <w:sz w:val="22"/>
          <w:szCs w:val="22"/>
        </w:rPr>
      </w:pPr>
      <w:r>
        <w:rPr>
          <w:rFonts w:hint="eastAsia" w:ascii="宋体" w:hAnsi="宋体" w:cs="宋体"/>
          <w:b/>
          <w:bCs/>
          <w:sz w:val="28"/>
          <w:szCs w:val="28"/>
        </w:rPr>
        <w:t xml:space="preserve">                                                        </w:t>
      </w:r>
      <w:r>
        <w:rPr>
          <w:rFonts w:hint="eastAsia" w:ascii="宋体" w:hAnsi="宋体" w:cs="宋体"/>
          <w:sz w:val="22"/>
          <w:szCs w:val="22"/>
        </w:rPr>
        <w:t>单位：元</w:t>
      </w:r>
    </w:p>
    <w:tbl>
      <w:tblPr>
        <w:tblStyle w:val="12"/>
        <w:tblW w:w="10702" w:type="dxa"/>
        <w:tblInd w:w="-411" w:type="dxa"/>
        <w:tblLayout w:type="fixed"/>
        <w:tblCellMar>
          <w:top w:w="0" w:type="dxa"/>
          <w:left w:w="0" w:type="dxa"/>
          <w:bottom w:w="0" w:type="dxa"/>
          <w:right w:w="0" w:type="dxa"/>
        </w:tblCellMar>
      </w:tblPr>
      <w:tblGrid>
        <w:gridCol w:w="685"/>
        <w:gridCol w:w="1250"/>
        <w:gridCol w:w="3000"/>
        <w:gridCol w:w="666"/>
        <w:gridCol w:w="950"/>
        <w:gridCol w:w="751"/>
        <w:gridCol w:w="1184"/>
        <w:gridCol w:w="950"/>
        <w:gridCol w:w="916"/>
        <w:gridCol w:w="350"/>
      </w:tblGrid>
      <w:tr>
        <w:tblPrEx>
          <w:tblCellMar>
            <w:top w:w="0" w:type="dxa"/>
            <w:left w:w="0" w:type="dxa"/>
            <w:bottom w:w="0" w:type="dxa"/>
            <w:right w:w="0" w:type="dxa"/>
          </w:tblCellMar>
        </w:tblPrEx>
        <w:trPr>
          <w:trHeight w:val="451"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序号</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分部分项</w:t>
            </w:r>
            <w:r>
              <w:rPr>
                <w:rFonts w:hint="eastAsia" w:ascii="微软雅黑" w:hAnsi="微软雅黑" w:eastAsia="微软雅黑" w:cs="微软雅黑"/>
                <w:color w:val="000000"/>
                <w:kern w:val="0"/>
                <w:sz w:val="24"/>
                <w:lang w:bidi="ar"/>
              </w:rPr>
              <w:br w:type="textWrapping"/>
            </w:r>
            <w:r>
              <w:rPr>
                <w:rFonts w:hint="eastAsia" w:ascii="微软雅黑" w:hAnsi="微软雅黑" w:eastAsia="微软雅黑" w:cs="微软雅黑"/>
                <w:color w:val="000000"/>
                <w:kern w:val="0"/>
                <w:sz w:val="24"/>
                <w:lang w:bidi="ar"/>
              </w:rPr>
              <w:t>工程名称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特征及内容</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单位</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暂定</w:t>
            </w:r>
            <w:r>
              <w:rPr>
                <w:rFonts w:hint="eastAsia" w:ascii="微软雅黑" w:hAnsi="微软雅黑" w:eastAsia="微软雅黑" w:cs="微软雅黑"/>
                <w:color w:val="000000"/>
                <w:kern w:val="0"/>
                <w:sz w:val="24"/>
                <w:lang w:bidi="ar"/>
              </w:rPr>
              <w:br w:type="textWrapping"/>
            </w:r>
            <w:r>
              <w:rPr>
                <w:rFonts w:hint="eastAsia" w:ascii="微软雅黑" w:hAnsi="微软雅黑" w:eastAsia="微软雅黑" w:cs="微软雅黑"/>
                <w:color w:val="000000"/>
                <w:kern w:val="0"/>
                <w:sz w:val="24"/>
                <w:lang w:bidi="ar"/>
              </w:rPr>
              <w:t>工程量</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限价（含税）</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报价（含税）</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备注</w:t>
            </w:r>
          </w:p>
        </w:tc>
      </w:tr>
      <w:tr>
        <w:tblPrEx>
          <w:tblCellMar>
            <w:top w:w="0" w:type="dxa"/>
            <w:left w:w="0" w:type="dxa"/>
            <w:bottom w:w="0" w:type="dxa"/>
            <w:right w:w="0" w:type="dxa"/>
          </w:tblCellMar>
        </w:tblPrEx>
        <w:trPr>
          <w:trHeight w:val="604"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微软雅黑" w:hAnsi="微软雅黑" w:eastAsia="微软雅黑" w:cs="微软雅黑"/>
                <w:color w:val="000000"/>
                <w:sz w:val="18"/>
                <w:szCs w:val="18"/>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微软雅黑" w:hAnsi="微软雅黑" w:eastAsia="微软雅黑" w:cs="微软雅黑"/>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微软雅黑" w:hAnsi="微软雅黑" w:eastAsia="微软雅黑" w:cs="微软雅黑"/>
                <w:color w:val="000000"/>
                <w:sz w:val="18"/>
                <w:szCs w:val="18"/>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微软雅黑" w:hAnsi="微软雅黑" w:eastAsia="微软雅黑" w:cs="微软雅黑"/>
                <w:color w:val="000000"/>
                <w:sz w:val="18"/>
                <w:szCs w:val="18"/>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微软雅黑" w:hAnsi="微软雅黑" w:eastAsia="微软雅黑" w:cs="微软雅黑"/>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kern w:val="0"/>
                <w:sz w:val="24"/>
                <w:lang w:bidi="ar"/>
              </w:rPr>
            </w:pPr>
            <w:r>
              <w:rPr>
                <w:rFonts w:hint="eastAsia" w:ascii="微软雅黑" w:hAnsi="微软雅黑" w:eastAsia="微软雅黑" w:cs="微软雅黑"/>
                <w:color w:val="000000"/>
                <w:kern w:val="0"/>
                <w:sz w:val="24"/>
                <w:lang w:bidi="ar"/>
              </w:rPr>
              <w:t>综合</w:t>
            </w:r>
          </w:p>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单价</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总价</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kern w:val="0"/>
                <w:sz w:val="24"/>
                <w:lang w:bidi="ar"/>
              </w:rPr>
            </w:pPr>
            <w:r>
              <w:rPr>
                <w:rFonts w:hint="eastAsia" w:ascii="微软雅黑" w:hAnsi="微软雅黑" w:eastAsia="微软雅黑" w:cs="微软雅黑"/>
                <w:color w:val="000000"/>
                <w:kern w:val="0"/>
                <w:sz w:val="24"/>
                <w:lang w:bidi="ar"/>
              </w:rPr>
              <w:t>综合</w:t>
            </w:r>
          </w:p>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单价</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总价</w:t>
            </w: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4"/>
              </w:rPr>
            </w:pPr>
          </w:p>
        </w:tc>
      </w:tr>
      <w:tr>
        <w:tblPrEx>
          <w:tblCellMar>
            <w:top w:w="0" w:type="dxa"/>
            <w:left w:w="0" w:type="dxa"/>
            <w:bottom w:w="0" w:type="dxa"/>
            <w:right w:w="0" w:type="dxa"/>
          </w:tblCellMar>
        </w:tblPrEx>
        <w:trPr>
          <w:trHeight w:val="3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bookmarkStart w:id="137" w:name="_Hlk58828983"/>
            <w:r>
              <w:rPr>
                <w:rFonts w:hint="eastAsia" w:ascii="宋体" w:hAnsi="宋体" w:eastAsia="宋体" w:cs="宋体"/>
                <w:color w:val="000000"/>
                <w:kern w:val="0"/>
                <w:sz w:val="24"/>
                <w:lang w:bidi="ar"/>
              </w:rPr>
              <w:t>一</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000000"/>
                <w:sz w:val="24"/>
              </w:rPr>
            </w:pPr>
            <w:r>
              <w:rPr>
                <w:rFonts w:ascii="宋体" w:hAnsi="宋体" w:eastAsia="宋体" w:cs="宋体"/>
                <w:color w:val="000000"/>
                <w:kern w:val="0"/>
                <w:sz w:val="24"/>
                <w:lang w:bidi="ar"/>
              </w:rPr>
              <w:t>A1</w:t>
            </w:r>
            <w:r>
              <w:rPr>
                <w:rFonts w:hint="eastAsia" w:ascii="宋体" w:hAnsi="宋体" w:eastAsia="宋体" w:cs="宋体"/>
                <w:color w:val="000000"/>
                <w:kern w:val="0"/>
                <w:sz w:val="24"/>
                <w:lang w:bidi="ar"/>
              </w:rPr>
              <w:t>、</w:t>
            </w:r>
            <w:r>
              <w:rPr>
                <w:rFonts w:ascii="宋体" w:hAnsi="宋体" w:eastAsia="宋体" w:cs="宋体"/>
                <w:color w:val="000000"/>
                <w:kern w:val="0"/>
                <w:sz w:val="24"/>
                <w:lang w:bidi="ar"/>
              </w:rPr>
              <w:t>A2</w:t>
            </w:r>
            <w:r>
              <w:rPr>
                <w:rFonts w:hint="eastAsia" w:ascii="宋体" w:hAnsi="宋体" w:eastAsia="宋体" w:cs="宋体"/>
                <w:color w:val="000000"/>
                <w:kern w:val="0"/>
                <w:sz w:val="24"/>
                <w:lang w:bidi="ar"/>
              </w:rPr>
              <w:t>路</w:t>
            </w:r>
          </w:p>
        </w:tc>
        <w:tc>
          <w:tcPr>
            <w:tcW w:w="3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（一）</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道路土石方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75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平基土石方（含清表）</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1.清除表土及地上附着物、拆除构（建）筑物等场地清理；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2.施工现场排水降水；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3.土石方开挖、装车；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5.回填平整、夯实(回填压实系数小于0.9)；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6.支护、围护(挡土板)的安、拆；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7.密闭和弃渣。</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rPr>
              <w:t>5</w:t>
            </w:r>
            <w:r>
              <w:rPr>
                <w:rFonts w:ascii="宋体" w:hAnsi="宋体" w:eastAsia="宋体" w:cs="宋体"/>
                <w:color w:val="000000"/>
                <w:sz w:val="24"/>
              </w:rPr>
              <w:t>5378</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12.2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675611.60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缺方内运</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1.清表、伐树、拆除构（建）筑物等场地清理；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2.施工现场排水降水；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3.土石方开挖、装车；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5.支护、围护(挡土板)安装及拆除；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6.密闭。</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83125</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7</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581875.0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路基翻挖</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1.挖方；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2.施工现场排水降水；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3.场内运输；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4.支护。</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r>
              <w:rPr>
                <w:rFonts w:ascii="宋体" w:hAnsi="宋体" w:eastAsia="宋体" w:cs="宋体"/>
                <w:color w:val="000000"/>
                <w:kern w:val="0"/>
                <w:sz w:val="24"/>
                <w:lang w:bidi="ar"/>
              </w:rPr>
              <w:t>09264</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710216.0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地基强夯</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1.试夯、强夯；  2.夯填材料运输；  3.铺设夯填材料。</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m</w:t>
            </w:r>
            <w:r>
              <w:rPr>
                <w:rFonts w:hint="eastAsia" w:ascii="宋体" w:hAnsi="宋体" w:eastAsia="宋体" w:cs="宋体"/>
                <w:color w:val="000000"/>
                <w:kern w:val="0"/>
                <w:sz w:val="24"/>
                <w:vertAlign w:val="superscript"/>
                <w:lang w:bidi="ar"/>
              </w:rPr>
              <w:t>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23558</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18</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424044.0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路基填方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1.解小；                                         2.场内运输；                                               3.回填、压实。</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36899</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rPr>
              <w:t>6</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color w:val="000000"/>
                <w:sz w:val="24"/>
              </w:rPr>
            </w:pPr>
            <w:r>
              <w:rPr>
                <w:rFonts w:hint="eastAsia" w:ascii="宋体" w:hAnsi="宋体" w:eastAsia="宋体" w:cs="宋体"/>
                <w:color w:val="000000"/>
                <w:sz w:val="24"/>
              </w:rPr>
              <w:t xml:space="preserve"> </w:t>
            </w:r>
            <w:r>
              <w:rPr>
                <w:rFonts w:ascii="宋体" w:hAnsi="宋体" w:eastAsia="宋体" w:cs="宋体"/>
                <w:color w:val="000000"/>
                <w:sz w:val="24"/>
              </w:rPr>
              <w:t xml:space="preserve">  1421394.0</w:t>
            </w:r>
          </w:p>
          <w:p>
            <w:pPr>
              <w:textAlignment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6</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缺方内运（每增运1</w:t>
            </w:r>
            <w:r>
              <w:rPr>
                <w:rFonts w:ascii="宋体" w:hAnsi="宋体" w:eastAsia="宋体" w:cs="宋体"/>
                <w:color w:val="000000"/>
                <w:kern w:val="0"/>
                <w:sz w:val="24"/>
                <w:lang w:bidi="ar"/>
              </w:rPr>
              <w:t>KM</w:t>
            </w:r>
            <w:r>
              <w:rPr>
                <w:rFonts w:hint="eastAsia" w:ascii="宋体" w:hAnsi="宋体" w:eastAsia="宋体" w:cs="宋体"/>
                <w:color w:val="000000"/>
                <w:kern w:val="0"/>
                <w:sz w:val="24"/>
                <w:lang w:bidi="ar"/>
              </w:rPr>
              <w:t>）</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1.增运运输；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2.密闭运输；</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8</w:t>
            </w:r>
            <w:r>
              <w:rPr>
                <w:rFonts w:ascii="宋体" w:hAnsi="宋体" w:eastAsia="宋体" w:cs="宋体"/>
                <w:color w:val="000000"/>
                <w:sz w:val="24"/>
              </w:rPr>
              <w:t>3125</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ascii="宋体" w:hAnsi="宋体" w:eastAsia="宋体" w:cs="宋体"/>
                <w:color w:val="000000"/>
                <w:sz w:val="24"/>
              </w:rPr>
              <w:t>166250.0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7</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机械开挖石方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1.石方开挖；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2.围护、支撑；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3.场内、场外运输；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4.场内回填、平整、夯实；                                   5.密闭和弃渣。</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320</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ascii="宋体" w:hAnsi="宋体" w:eastAsia="宋体" w:cs="宋体"/>
                <w:color w:val="000000"/>
                <w:sz w:val="24"/>
              </w:rPr>
              <w:t>22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ascii="宋体" w:hAnsi="宋体" w:eastAsia="宋体" w:cs="宋体"/>
                <w:color w:val="000000"/>
                <w:sz w:val="24"/>
              </w:rPr>
              <w:t>73040.0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（二）</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雨、污水管道土石方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textAlignment w:val="center"/>
              <w:rPr>
                <w:rFonts w:ascii="宋体" w:hAnsi="宋体" w:eastAsia="宋体" w:cs="宋体"/>
                <w:color w:val="000000"/>
                <w:sz w:val="24"/>
              </w:rPr>
            </w:pPr>
            <w:r>
              <w:rPr>
                <w:rFonts w:hint="eastAsia" w:ascii="宋体" w:hAnsi="宋体" w:eastAsia="宋体" w:cs="宋体"/>
                <w:color w:val="000000"/>
                <w:kern w:val="0"/>
                <w:sz w:val="24"/>
                <w:lang w:bidi="ar"/>
              </w:rPr>
              <w:t>挖槽（坑）土石方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1.排地表水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2.土石方开挖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3.围护(挡土板)及拆除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4.基底钎探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5.场内运输</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22419.06</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493219.32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坑槽回填土石方）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2.回填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3.压实</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19593.47</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391869.40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余方弃置（起运1KM）</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1.余方点装料运输至弃置点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2825.59</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8.5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24017.52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bookmarkEnd w:id="127"/>
      <w:bookmarkEnd w:id="128"/>
      <w:bookmarkEnd w:id="129"/>
      <w:bookmarkEnd w:id="130"/>
      <w:bookmarkEnd w:id="131"/>
      <w:bookmarkEnd w:id="132"/>
      <w:bookmarkEnd w:id="133"/>
      <w:bookmarkEnd w:id="134"/>
      <w:tr>
        <w:tblPrEx>
          <w:tblCellMar>
            <w:top w:w="0" w:type="dxa"/>
            <w:left w:w="0" w:type="dxa"/>
            <w:bottom w:w="0" w:type="dxa"/>
            <w:right w:w="0" w:type="dxa"/>
          </w:tblCellMar>
        </w:tblPrEx>
        <w:trPr>
          <w:trHeight w:val="3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000000"/>
                <w:sz w:val="24"/>
              </w:rPr>
            </w:pPr>
            <w:r>
              <w:rPr>
                <w:rFonts w:ascii="宋体" w:hAnsi="宋体" w:eastAsia="宋体" w:cs="宋体"/>
                <w:color w:val="000000"/>
                <w:kern w:val="0"/>
                <w:sz w:val="24"/>
                <w:lang w:bidi="ar"/>
              </w:rPr>
              <w:t>A6</w:t>
            </w:r>
            <w:r>
              <w:rPr>
                <w:rFonts w:hint="eastAsia" w:ascii="宋体" w:hAnsi="宋体" w:eastAsia="宋体" w:cs="宋体"/>
                <w:color w:val="000000"/>
                <w:kern w:val="0"/>
                <w:sz w:val="24"/>
                <w:lang w:bidi="ar"/>
              </w:rPr>
              <w:t>路</w:t>
            </w:r>
          </w:p>
        </w:tc>
        <w:tc>
          <w:tcPr>
            <w:tcW w:w="3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（一）</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道路土石方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75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平基土石方（含清表）</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1.清除表土及地上附着物、拆除构（建）筑物等场地清理；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2.施工现场排水降水；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3.土石方开挖、装车；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5.回填平整、夯实(回填压实系数小于0.9)；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6.支护、围护(挡土板)的安、拆；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7.密闭和弃渣。</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p>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4070.0</w:t>
            </w:r>
          </w:p>
          <w:p>
            <w:pPr>
              <w:jc w:val="center"/>
              <w:textAlignment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eastAsia="宋体" w:cs="宋体"/>
                <w:color w:val="000000"/>
                <w:sz w:val="24"/>
              </w:rPr>
            </w:pPr>
          </w:p>
          <w:p>
            <w:pPr>
              <w:textAlignment w:val="center"/>
              <w:rPr>
                <w:rFonts w:ascii="宋体" w:hAnsi="宋体" w:eastAsia="宋体" w:cs="宋体"/>
                <w:color w:val="000000"/>
                <w:sz w:val="24"/>
              </w:rPr>
            </w:pPr>
            <w:r>
              <w:rPr>
                <w:rFonts w:ascii="宋体" w:hAnsi="宋体" w:eastAsia="宋体" w:cs="宋体"/>
                <w:color w:val="000000"/>
                <w:sz w:val="24"/>
              </w:rPr>
              <w:t>12.2</w:t>
            </w:r>
          </w:p>
          <w:p>
            <w:pPr>
              <w:textAlignment w:val="center"/>
              <w:rPr>
                <w:rFonts w:ascii="宋体" w:hAnsi="宋体" w:eastAsia="宋体" w:cs="宋体"/>
                <w:color w:val="000000"/>
                <w:sz w:val="24"/>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49654.0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路基翻挖</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1.挖方；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2.施工现场排水降水；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3.场内运输；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4.支护。</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r>
              <w:rPr>
                <w:rFonts w:ascii="宋体" w:hAnsi="宋体" w:eastAsia="宋体" w:cs="宋体"/>
                <w:color w:val="000000"/>
                <w:kern w:val="0"/>
                <w:sz w:val="24"/>
                <w:lang w:bidi="ar"/>
              </w:rPr>
              <w:t>860</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p>
          <w:p>
            <w:pPr>
              <w:jc w:val="center"/>
              <w:textAlignment w:val="center"/>
              <w:rPr>
                <w:rFonts w:ascii="宋体" w:hAnsi="宋体" w:eastAsia="宋体" w:cs="宋体"/>
                <w:color w:val="000000"/>
                <w:sz w:val="24"/>
              </w:rPr>
            </w:pPr>
            <w:r>
              <w:rPr>
                <w:rFonts w:ascii="宋体" w:hAnsi="宋体" w:eastAsia="宋体" w:cs="宋体"/>
                <w:color w:val="000000"/>
                <w:sz w:val="24"/>
              </w:rPr>
              <w:t>12090.0</w:t>
            </w:r>
          </w:p>
          <w:p>
            <w:pPr>
              <w:jc w:val="center"/>
              <w:textAlignment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路基填方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宋体" w:hAnsi="宋体" w:eastAsia="宋体" w:cs="宋体"/>
                <w:i w:val="0"/>
                <w:color w:val="000000"/>
                <w:kern w:val="0"/>
                <w:sz w:val="18"/>
                <w:szCs w:val="18"/>
                <w:u w:val="none"/>
                <w:lang w:val="en-US" w:eastAsia="zh-CN" w:bidi="ar"/>
              </w:rPr>
              <w:t>1.解小；                                         2.场内运输；                                               3.回填、压实。</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r>
              <w:rPr>
                <w:rFonts w:ascii="宋体" w:hAnsi="宋体" w:eastAsia="宋体" w:cs="宋体"/>
                <w:color w:val="000000"/>
                <w:kern w:val="0"/>
                <w:sz w:val="24"/>
                <w:lang w:bidi="ar"/>
              </w:rPr>
              <w:t>942</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29652.0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4</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余方弃置（每增运1</w:t>
            </w:r>
            <w:r>
              <w:rPr>
                <w:rFonts w:ascii="宋体" w:hAnsi="宋体" w:eastAsia="宋体" w:cs="宋体"/>
                <w:color w:val="000000"/>
                <w:kern w:val="0"/>
                <w:sz w:val="24"/>
                <w:lang w:bidi="ar"/>
              </w:rPr>
              <w:t>KM</w:t>
            </w:r>
            <w:r>
              <w:rPr>
                <w:rFonts w:hint="eastAsia" w:ascii="宋体" w:hAnsi="宋体" w:eastAsia="宋体" w:cs="宋体"/>
                <w:color w:val="000000"/>
                <w:kern w:val="0"/>
                <w:sz w:val="24"/>
                <w:lang w:bidi="ar"/>
              </w:rPr>
              <w:t>）</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1.增运运输；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2.密闭运输 。</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8789</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17578</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机械开挖石方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1.石方开挖；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2.围护、支撑；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3.场内、场外运输；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4.场内回填、平整、夯实；                                   5.密闭和弃渣。</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9</w:t>
            </w:r>
            <w:r>
              <w:rPr>
                <w:rFonts w:ascii="宋体" w:hAnsi="宋体" w:eastAsia="宋体" w:cs="宋体"/>
                <w:color w:val="000000"/>
                <w:sz w:val="24"/>
              </w:rPr>
              <w:t>661</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ascii="宋体" w:hAnsi="宋体" w:eastAsia="宋体" w:cs="宋体"/>
                <w:color w:val="000000"/>
                <w:sz w:val="24"/>
              </w:rPr>
              <w:t>27.5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ascii="宋体" w:hAnsi="宋体" w:eastAsia="宋体" w:cs="宋体"/>
                <w:color w:val="000000"/>
                <w:sz w:val="24"/>
              </w:rPr>
              <w:t>265677.5</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bookmarkStart w:id="138" w:name="_Hlk58830410"/>
            <w:r>
              <w:rPr>
                <w:rFonts w:hint="eastAsia" w:ascii="宋体" w:hAnsi="宋体" w:eastAsia="宋体" w:cs="宋体"/>
                <w:color w:val="000000"/>
                <w:kern w:val="0"/>
                <w:sz w:val="24"/>
                <w:lang w:bidi="ar"/>
              </w:rPr>
              <w:t>（二）</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雨、污水管道土石方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textAlignment w:val="center"/>
              <w:rPr>
                <w:rFonts w:ascii="宋体" w:hAnsi="宋体" w:eastAsia="宋体" w:cs="宋体"/>
                <w:color w:val="000000"/>
                <w:sz w:val="24"/>
              </w:rPr>
            </w:pPr>
            <w:r>
              <w:rPr>
                <w:rFonts w:hint="eastAsia" w:ascii="宋体" w:hAnsi="宋体" w:eastAsia="宋体" w:cs="宋体"/>
                <w:color w:val="000000"/>
                <w:kern w:val="0"/>
                <w:sz w:val="24"/>
                <w:lang w:bidi="ar"/>
              </w:rPr>
              <w:t>挖槽（坑）土石方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1.排地表水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2.土石方开挖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3.围护(挡土板)及拆除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4.基底钎探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5.场内运输</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2488.21</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54740.62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坑槽回填土石方）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2.回填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3.压实</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2248.08</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44961.6</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余方弃置（起运1KM）</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1.余方点装料运输至弃置点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240.13</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7</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1680.91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bookmarkEnd w:id="138"/>
    </w:tbl>
    <w:p>
      <w:pPr>
        <w:spacing w:line="300" w:lineRule="exact"/>
        <w:jc w:val="left"/>
        <w:rPr>
          <w:rFonts w:ascii="宋体" w:hAnsi="宋体"/>
          <w:szCs w:val="21"/>
        </w:rPr>
      </w:pPr>
    </w:p>
    <w:bookmarkEnd w:id="137"/>
    <w:tbl>
      <w:tblPr>
        <w:tblStyle w:val="12"/>
        <w:tblW w:w="10702" w:type="dxa"/>
        <w:tblInd w:w="-411" w:type="dxa"/>
        <w:tblLayout w:type="fixed"/>
        <w:tblCellMar>
          <w:top w:w="0" w:type="dxa"/>
          <w:left w:w="0" w:type="dxa"/>
          <w:bottom w:w="0" w:type="dxa"/>
          <w:right w:w="0" w:type="dxa"/>
        </w:tblCellMar>
      </w:tblPr>
      <w:tblGrid>
        <w:gridCol w:w="685"/>
        <w:gridCol w:w="1250"/>
        <w:gridCol w:w="3000"/>
        <w:gridCol w:w="666"/>
        <w:gridCol w:w="950"/>
        <w:gridCol w:w="751"/>
        <w:gridCol w:w="1184"/>
        <w:gridCol w:w="950"/>
        <w:gridCol w:w="916"/>
        <w:gridCol w:w="350"/>
      </w:tblGrid>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（三）</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桥梁土石方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eastAsia="宋体" w:cs="宋体"/>
                <w:color w:val="000000"/>
                <w:sz w:val="24"/>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textAlignment w:val="center"/>
              <w:rPr>
                <w:rFonts w:ascii="宋体" w:hAnsi="宋体" w:eastAsia="宋体" w:cs="宋体"/>
                <w:color w:val="000000"/>
                <w:sz w:val="24"/>
              </w:rPr>
            </w:pPr>
            <w:r>
              <w:rPr>
                <w:rFonts w:hint="eastAsia" w:ascii="宋体" w:hAnsi="宋体" w:eastAsia="宋体" w:cs="宋体"/>
                <w:color w:val="000000"/>
                <w:kern w:val="0"/>
                <w:sz w:val="24"/>
                <w:lang w:bidi="ar"/>
              </w:rPr>
              <w:t>挖槽（坑）土石方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1.排地表水</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2.土石方开挖</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3.围护(挡土板)及拆除</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4.基底钎探</w:t>
            </w:r>
          </w:p>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5.场内运输</w:t>
            </w:r>
          </w:p>
          <w:p>
            <w:pPr>
              <w:jc w:val="left"/>
              <w:textAlignment w:val="center"/>
              <w:rPr>
                <w:rFonts w:ascii="宋体" w:hAnsi="宋体" w:eastAsia="宋体" w:cs="宋体"/>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27609.92</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22</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607418.24</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坑槽回填土石方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1.运输</w:t>
            </w:r>
          </w:p>
          <w:p>
            <w:p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2.回填</w:t>
            </w:r>
          </w:p>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3.压实</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4517.95</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90359.0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余方弃置（起运1KM）</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1.余方点装料运输至弃置点</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kern w:val="0"/>
                <w:sz w:val="24"/>
                <w:lang w:bidi="ar"/>
              </w:rPr>
              <w:t>23091.97</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9.5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219373.72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609" w:hRule="atLeast"/>
        </w:trPr>
        <w:tc>
          <w:tcPr>
            <w:tcW w:w="65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合计金额</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6354722.43</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bl>
    <w:p>
      <w:pPr>
        <w:spacing w:line="300" w:lineRule="exact"/>
        <w:jc w:val="left"/>
        <w:rPr>
          <w:rFonts w:ascii="宋体" w:hAnsi="宋体"/>
          <w:szCs w:val="21"/>
        </w:rPr>
      </w:pPr>
    </w:p>
    <w:p>
      <w:pPr>
        <w:spacing w:line="300" w:lineRule="exact"/>
        <w:jc w:val="left"/>
        <w:rPr>
          <w:rFonts w:ascii="宋体" w:hAnsi="宋体"/>
          <w:sz w:val="28"/>
          <w:szCs w:val="28"/>
        </w:rPr>
      </w:pPr>
      <w:r>
        <w:rPr>
          <w:rFonts w:hint="eastAsia" w:ascii="宋体" w:hAnsi="宋体"/>
          <w:szCs w:val="21"/>
        </w:rPr>
        <w:t>注：</w:t>
      </w:r>
      <w:r>
        <w:rPr>
          <w:rFonts w:hint="eastAsia" w:ascii="宋体" w:hAnsi="宋体" w:eastAsia="宋体" w:cs="宋体"/>
          <w:szCs w:val="21"/>
        </w:rPr>
        <w:t>最高单价限价含人材机、安全文明施工费、管理费、利润、税金</w:t>
      </w:r>
      <w:r>
        <w:rPr>
          <w:rFonts w:hint="eastAsia" w:ascii="宋体" w:hAnsi="宋体" w:eastAsia="宋体" w:cs="宋体"/>
          <w:szCs w:val="21"/>
          <w:lang w:eastAsia="zh-CN"/>
        </w:rPr>
        <w:t>（税率为</w:t>
      </w:r>
      <w:r>
        <w:rPr>
          <w:rFonts w:hint="eastAsia" w:ascii="宋体" w:hAnsi="宋体" w:eastAsia="宋体" w:cs="宋体"/>
          <w:szCs w:val="21"/>
          <w:lang w:val="en-US" w:eastAsia="zh-CN"/>
        </w:rPr>
        <w:t>9%</w:t>
      </w:r>
      <w:r>
        <w:rPr>
          <w:rFonts w:hint="eastAsia" w:ascii="宋体" w:hAnsi="宋体" w:eastAsia="宋体" w:cs="宋体"/>
          <w:szCs w:val="21"/>
          <w:lang w:eastAsia="zh-CN"/>
        </w:rPr>
        <w:t>）</w:t>
      </w:r>
      <w:r>
        <w:rPr>
          <w:rFonts w:hint="eastAsia" w:ascii="宋体" w:hAnsi="宋体" w:eastAsia="宋体" w:cs="宋体"/>
          <w:szCs w:val="21"/>
        </w:rPr>
        <w:t>、风险费用等一切相关费用。</w:t>
      </w:r>
    </w:p>
    <w:p>
      <w:pPr>
        <w:spacing w:line="360" w:lineRule="exact"/>
        <w:ind w:firstLine="3640" w:firstLineChars="1300"/>
        <w:rPr>
          <w:rFonts w:ascii="宋体" w:hAnsi="宋体"/>
          <w:sz w:val="28"/>
          <w:szCs w:val="28"/>
        </w:rPr>
      </w:pPr>
    </w:p>
    <w:p>
      <w:pPr>
        <w:spacing w:line="480" w:lineRule="exact"/>
        <w:ind w:firstLine="3640" w:firstLineChars="1300"/>
        <w:rPr>
          <w:rFonts w:ascii="宋体" w:hAnsi="宋体"/>
          <w:sz w:val="28"/>
          <w:szCs w:val="28"/>
        </w:rPr>
      </w:pPr>
      <w:r>
        <w:rPr>
          <w:rFonts w:hint="eastAsia" w:ascii="宋体" w:hAnsi="宋体"/>
          <w:sz w:val="28"/>
          <w:szCs w:val="28"/>
        </w:rPr>
        <w:t>投标单位：（盖章）</w:t>
      </w:r>
    </w:p>
    <w:p>
      <w:pPr>
        <w:spacing w:line="480" w:lineRule="exact"/>
        <w:ind w:firstLine="3640" w:firstLineChars="1300"/>
        <w:rPr>
          <w:rFonts w:ascii="宋体" w:hAnsi="宋体"/>
          <w:sz w:val="28"/>
          <w:szCs w:val="28"/>
        </w:rPr>
      </w:pPr>
      <w:r>
        <w:rPr>
          <w:rFonts w:hint="eastAsia" w:ascii="宋体" w:hAnsi="宋体"/>
          <w:sz w:val="28"/>
          <w:szCs w:val="28"/>
        </w:rPr>
        <w:t>法定代表人或委托代理人：（签字）</w:t>
      </w:r>
    </w:p>
    <w:p>
      <w:pPr>
        <w:spacing w:line="480" w:lineRule="exact"/>
        <w:ind w:firstLine="3920" w:firstLineChars="1400"/>
        <w:rPr>
          <w:rFonts w:ascii="宋体" w:hAnsi="宋体" w:eastAsia="宋体" w:cs="Times New Roman"/>
          <w:szCs w:val="21"/>
        </w:rPr>
        <w:sectPr>
          <w:pgSz w:w="11906" w:h="16838"/>
          <w:pgMar w:top="1417" w:right="1134" w:bottom="1417" w:left="1417" w:header="283" w:footer="283" w:gutter="0"/>
          <w:cols w:space="0" w:num="1"/>
          <w:docGrid w:type="lines" w:linePitch="322" w:charSpace="0"/>
        </w:sectPr>
      </w:pPr>
      <w:r>
        <w:rPr>
          <w:rFonts w:hint="eastAsia" w:ascii="宋体" w:hAnsi="宋体"/>
          <w:sz w:val="28"/>
          <w:szCs w:val="28"/>
        </w:rPr>
        <w:t xml:space="preserve">     日期： </w:t>
      </w:r>
      <w:r>
        <w:rPr>
          <w:rFonts w:hint="eastAsia" w:ascii="宋体" w:hAnsi="宋体"/>
          <w:sz w:val="28"/>
          <w:szCs w:val="28"/>
          <w:lang w:eastAsia="zh-CN"/>
        </w:rPr>
        <w:t>2021</w:t>
      </w:r>
      <w:r>
        <w:rPr>
          <w:rFonts w:hint="eastAsia" w:ascii="宋体" w:hAnsi="宋体"/>
          <w:sz w:val="28"/>
          <w:szCs w:val="28"/>
        </w:rPr>
        <w:t>年   月   日</w:t>
      </w:r>
    </w:p>
    <w:p>
      <w:pPr>
        <w:jc w:val="left"/>
        <w:rPr>
          <w:b/>
          <w:bCs/>
          <w:sz w:val="30"/>
          <w:szCs w:val="30"/>
        </w:rPr>
      </w:pPr>
      <w:r>
        <w:rPr>
          <w:rFonts w:hint="eastAsia"/>
          <w:b/>
          <w:bCs/>
          <w:sz w:val="30"/>
          <w:szCs w:val="30"/>
        </w:rPr>
        <w:t>投标文件袋封面格式</w:t>
      </w:r>
    </w:p>
    <w:p>
      <w:pPr>
        <w:tabs>
          <w:tab w:val="left" w:pos="670"/>
          <w:tab w:val="center" w:pos="4252"/>
        </w:tabs>
        <w:spacing w:line="360" w:lineRule="auto"/>
        <w:jc w:val="center"/>
        <w:rPr>
          <w:rFonts w:ascii="Calibri" w:hAnsi="Calibri" w:eastAsia="宋体" w:cs="宋体"/>
          <w:b/>
          <w:bCs/>
          <w:w w:val="90"/>
          <w:sz w:val="36"/>
          <w:szCs w:val="36"/>
        </w:rPr>
      </w:pPr>
      <w:r>
        <w:rPr>
          <w:rFonts w:hint="eastAsia" w:ascii="Calibri" w:hAnsi="Calibri" w:eastAsia="宋体" w:cs="宋体"/>
          <w:b/>
          <w:bCs/>
          <w:w w:val="90"/>
          <w:sz w:val="36"/>
          <w:szCs w:val="36"/>
        </w:rPr>
        <w:t>西大附中周边道路二期工程（一标段）土石方专业分包单位招采</w:t>
      </w:r>
    </w:p>
    <w:p>
      <w:pPr>
        <w:spacing w:line="560" w:lineRule="exact"/>
        <w:jc w:val="center"/>
        <w:rPr>
          <w:rFonts w:ascii="Calibri" w:hAnsi="Calibri" w:eastAsia="宋体" w:cs="宋体"/>
          <w:b/>
          <w:bCs/>
          <w:w w:val="90"/>
          <w:sz w:val="44"/>
          <w:szCs w:val="44"/>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2021-01-1026</w:t>
      </w:r>
      <w:r>
        <w:rPr>
          <w:rFonts w:hint="eastAsia" w:ascii="Calibri" w:hAnsi="Calibri" w:eastAsia="宋体" w:cs="宋体"/>
          <w:b/>
          <w:sz w:val="32"/>
          <w:szCs w:val="32"/>
          <w:u w:val="single"/>
        </w:rPr>
        <w:t xml:space="preserve">        </w:t>
      </w:r>
      <w:r>
        <w:rPr>
          <w:rFonts w:hint="eastAsia" w:ascii="宋体" w:hAnsi="宋体" w:eastAsia="宋体" w:cs="宋体"/>
          <w:sz w:val="28"/>
          <w:szCs w:val="22"/>
        </w:rPr>
        <w:t xml:space="preserve"> </w:t>
      </w:r>
      <w:r>
        <w:rPr>
          <w:rFonts w:hint="eastAsia" w:ascii="Calibri" w:hAnsi="Calibri" w:eastAsia="宋体" w:cs="宋体"/>
          <w:b/>
          <w:sz w:val="32"/>
          <w:szCs w:val="32"/>
        </w:rPr>
        <w:t xml:space="preserve">  </w:t>
      </w:r>
      <w:r>
        <w:rPr>
          <w:rFonts w:ascii="Calibri" w:hAnsi="Calibri" w:eastAsia="宋体" w:cs="宋体"/>
          <w:b/>
          <w:sz w:val="32"/>
          <w:szCs w:val="32"/>
          <w:u w:val="single"/>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ascii="Calibri" w:hAnsi="Calibri" w:eastAsia="宋体" w:cs="宋体"/>
          <w:b/>
          <w:sz w:val="32"/>
          <w:szCs w:val="32"/>
          <w:u w:val="single"/>
        </w:rPr>
        <w:t xml:space="preserve">  </w:t>
      </w:r>
      <w:r>
        <w:rPr>
          <w:rFonts w:hint="eastAsia" w:ascii="Calibri" w:hAnsi="Calibri" w:eastAsia="宋体" w:cs="宋体"/>
          <w:b/>
          <w:sz w:val="32"/>
          <w:szCs w:val="32"/>
        </w:rPr>
        <w:t>年  月    日</w:t>
      </w:r>
    </w:p>
    <w:p/>
    <w:p>
      <w:pPr>
        <w:adjustRightInd w:val="0"/>
        <w:snapToGrid w:val="0"/>
        <w:spacing w:line="560" w:lineRule="exact"/>
        <w:jc w:val="left"/>
        <w:rPr>
          <w:b/>
          <w:sz w:val="32"/>
          <w:szCs w:val="32"/>
        </w:rPr>
      </w:pPr>
    </w:p>
    <w:p/>
    <w:sectPr>
      <w:headerReference r:id="rId9" w:type="default"/>
      <w:footerReference r:id="rId10" w:type="default"/>
      <w:pgSz w:w="11906" w:h="16838"/>
      <w:pgMar w:top="1417" w:right="1134" w:bottom="1417" w:left="1417" w:header="283" w:footer="283" w:gutter="0"/>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7" o:spid="_x0000_s2057" o:spt="202" type="#_x0000_t202" style="position:absolute;left:0pt;margin-top:0pt;height:144pt;width:144pt;mso-position-horizontal:center;mso-position-horizontal-relative:margin;mso-wrap-style:none;z-index:25165516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F214DB46"/>
    <w:multiLevelType w:val="singleLevel"/>
    <w:tmpl w:val="F214DB46"/>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6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00CA7"/>
    <w:rsid w:val="00012E3D"/>
    <w:rsid w:val="0001551C"/>
    <w:rsid w:val="00017C1A"/>
    <w:rsid w:val="00021E34"/>
    <w:rsid w:val="00026161"/>
    <w:rsid w:val="00030945"/>
    <w:rsid w:val="00043B77"/>
    <w:rsid w:val="000541D5"/>
    <w:rsid w:val="00067219"/>
    <w:rsid w:val="000728A8"/>
    <w:rsid w:val="00074862"/>
    <w:rsid w:val="00080D08"/>
    <w:rsid w:val="00083E4E"/>
    <w:rsid w:val="00084F9C"/>
    <w:rsid w:val="000935D0"/>
    <w:rsid w:val="000A7B8C"/>
    <w:rsid w:val="000B2E89"/>
    <w:rsid w:val="000B5B20"/>
    <w:rsid w:val="000C7C23"/>
    <w:rsid w:val="000D5C5B"/>
    <w:rsid w:val="000D6731"/>
    <w:rsid w:val="000D7EA0"/>
    <w:rsid w:val="000F73E1"/>
    <w:rsid w:val="00106929"/>
    <w:rsid w:val="001174A3"/>
    <w:rsid w:val="00124704"/>
    <w:rsid w:val="00134F27"/>
    <w:rsid w:val="001402C3"/>
    <w:rsid w:val="00176827"/>
    <w:rsid w:val="00182BB7"/>
    <w:rsid w:val="001908DB"/>
    <w:rsid w:val="0019325E"/>
    <w:rsid w:val="001A09C6"/>
    <w:rsid w:val="001B14BC"/>
    <w:rsid w:val="001B5973"/>
    <w:rsid w:val="001C4231"/>
    <w:rsid w:val="001F4803"/>
    <w:rsid w:val="001F61CC"/>
    <w:rsid w:val="00203BFD"/>
    <w:rsid w:val="0023534E"/>
    <w:rsid w:val="002845E4"/>
    <w:rsid w:val="002F051D"/>
    <w:rsid w:val="002F137A"/>
    <w:rsid w:val="003061C5"/>
    <w:rsid w:val="00313DBE"/>
    <w:rsid w:val="00334D00"/>
    <w:rsid w:val="00335EE6"/>
    <w:rsid w:val="00360F3E"/>
    <w:rsid w:val="00361521"/>
    <w:rsid w:val="003734B7"/>
    <w:rsid w:val="00373B80"/>
    <w:rsid w:val="00384EF4"/>
    <w:rsid w:val="00390529"/>
    <w:rsid w:val="003B4650"/>
    <w:rsid w:val="003C1976"/>
    <w:rsid w:val="003E431E"/>
    <w:rsid w:val="003F4BF9"/>
    <w:rsid w:val="003F5FB4"/>
    <w:rsid w:val="003F7C65"/>
    <w:rsid w:val="00432442"/>
    <w:rsid w:val="00433DD5"/>
    <w:rsid w:val="00474096"/>
    <w:rsid w:val="004812CB"/>
    <w:rsid w:val="00496B15"/>
    <w:rsid w:val="004973D1"/>
    <w:rsid w:val="004A0A33"/>
    <w:rsid w:val="004A237D"/>
    <w:rsid w:val="004B2EB8"/>
    <w:rsid w:val="004C255F"/>
    <w:rsid w:val="004E3B2D"/>
    <w:rsid w:val="00515938"/>
    <w:rsid w:val="00571103"/>
    <w:rsid w:val="005A186C"/>
    <w:rsid w:val="005A546B"/>
    <w:rsid w:val="005A5F49"/>
    <w:rsid w:val="005B5A05"/>
    <w:rsid w:val="005B5CF1"/>
    <w:rsid w:val="005C4A22"/>
    <w:rsid w:val="005D12D5"/>
    <w:rsid w:val="005E192D"/>
    <w:rsid w:val="005E51CD"/>
    <w:rsid w:val="005F62C5"/>
    <w:rsid w:val="005F7FB5"/>
    <w:rsid w:val="00606477"/>
    <w:rsid w:val="00611407"/>
    <w:rsid w:val="00613A9E"/>
    <w:rsid w:val="00616F2D"/>
    <w:rsid w:val="00627751"/>
    <w:rsid w:val="006417D8"/>
    <w:rsid w:val="0065289C"/>
    <w:rsid w:val="00677CF8"/>
    <w:rsid w:val="00680FF3"/>
    <w:rsid w:val="006B2986"/>
    <w:rsid w:val="006D0C0C"/>
    <w:rsid w:val="006D1FC9"/>
    <w:rsid w:val="006E1B81"/>
    <w:rsid w:val="006E4C9C"/>
    <w:rsid w:val="006E53B5"/>
    <w:rsid w:val="00726839"/>
    <w:rsid w:val="0073293C"/>
    <w:rsid w:val="0073672F"/>
    <w:rsid w:val="00736AEB"/>
    <w:rsid w:val="00750B3A"/>
    <w:rsid w:val="0075246D"/>
    <w:rsid w:val="007643DB"/>
    <w:rsid w:val="00790529"/>
    <w:rsid w:val="007A2C1C"/>
    <w:rsid w:val="007A4532"/>
    <w:rsid w:val="007C4CA4"/>
    <w:rsid w:val="00817298"/>
    <w:rsid w:val="00821A90"/>
    <w:rsid w:val="00850165"/>
    <w:rsid w:val="00861960"/>
    <w:rsid w:val="008911A2"/>
    <w:rsid w:val="008915B8"/>
    <w:rsid w:val="008E5029"/>
    <w:rsid w:val="009145BC"/>
    <w:rsid w:val="009261D3"/>
    <w:rsid w:val="00932DE4"/>
    <w:rsid w:val="0093543F"/>
    <w:rsid w:val="009370A9"/>
    <w:rsid w:val="009402FB"/>
    <w:rsid w:val="00960CF9"/>
    <w:rsid w:val="009671EC"/>
    <w:rsid w:val="0098400C"/>
    <w:rsid w:val="0099346B"/>
    <w:rsid w:val="009946AE"/>
    <w:rsid w:val="009B3B4A"/>
    <w:rsid w:val="009D2648"/>
    <w:rsid w:val="009F0D60"/>
    <w:rsid w:val="00A0044A"/>
    <w:rsid w:val="00A069AB"/>
    <w:rsid w:val="00A06B21"/>
    <w:rsid w:val="00A222E7"/>
    <w:rsid w:val="00A31ECF"/>
    <w:rsid w:val="00A75AB8"/>
    <w:rsid w:val="00AA64A6"/>
    <w:rsid w:val="00AB2AE1"/>
    <w:rsid w:val="00AB7654"/>
    <w:rsid w:val="00AE785C"/>
    <w:rsid w:val="00B21683"/>
    <w:rsid w:val="00B64961"/>
    <w:rsid w:val="00B824B1"/>
    <w:rsid w:val="00B8508D"/>
    <w:rsid w:val="00B85AF9"/>
    <w:rsid w:val="00B85C75"/>
    <w:rsid w:val="00B938E9"/>
    <w:rsid w:val="00B957AC"/>
    <w:rsid w:val="00BA5AFF"/>
    <w:rsid w:val="00BC2785"/>
    <w:rsid w:val="00BC2FBD"/>
    <w:rsid w:val="00BC3323"/>
    <w:rsid w:val="00BD4BE1"/>
    <w:rsid w:val="00BE3DBE"/>
    <w:rsid w:val="00BF64F6"/>
    <w:rsid w:val="00C02398"/>
    <w:rsid w:val="00C21D00"/>
    <w:rsid w:val="00C4315F"/>
    <w:rsid w:val="00C47CEA"/>
    <w:rsid w:val="00C724A9"/>
    <w:rsid w:val="00C840AE"/>
    <w:rsid w:val="00C91C26"/>
    <w:rsid w:val="00CB311F"/>
    <w:rsid w:val="00CC39B7"/>
    <w:rsid w:val="00CD1F17"/>
    <w:rsid w:val="00CF041B"/>
    <w:rsid w:val="00D0695E"/>
    <w:rsid w:val="00D128E4"/>
    <w:rsid w:val="00D466FC"/>
    <w:rsid w:val="00D47613"/>
    <w:rsid w:val="00D51A56"/>
    <w:rsid w:val="00D540E8"/>
    <w:rsid w:val="00D769DA"/>
    <w:rsid w:val="00D840E8"/>
    <w:rsid w:val="00D970BD"/>
    <w:rsid w:val="00DA48B9"/>
    <w:rsid w:val="00DA6130"/>
    <w:rsid w:val="00DF68DB"/>
    <w:rsid w:val="00E00EAB"/>
    <w:rsid w:val="00E07EFA"/>
    <w:rsid w:val="00E347DE"/>
    <w:rsid w:val="00E41A89"/>
    <w:rsid w:val="00E56FAD"/>
    <w:rsid w:val="00E65BFE"/>
    <w:rsid w:val="00ED6A1B"/>
    <w:rsid w:val="00ED72A3"/>
    <w:rsid w:val="00F015DD"/>
    <w:rsid w:val="00F02873"/>
    <w:rsid w:val="00F134AC"/>
    <w:rsid w:val="00F25110"/>
    <w:rsid w:val="00F31052"/>
    <w:rsid w:val="00F37335"/>
    <w:rsid w:val="00F42BF3"/>
    <w:rsid w:val="00F52FEE"/>
    <w:rsid w:val="00F61741"/>
    <w:rsid w:val="00F82DAB"/>
    <w:rsid w:val="00F87F8D"/>
    <w:rsid w:val="00F93884"/>
    <w:rsid w:val="00F964A5"/>
    <w:rsid w:val="00FA3A2C"/>
    <w:rsid w:val="00FD716A"/>
    <w:rsid w:val="00FF1813"/>
    <w:rsid w:val="00FF457C"/>
    <w:rsid w:val="00FF5F88"/>
    <w:rsid w:val="00FF5F90"/>
    <w:rsid w:val="01286F57"/>
    <w:rsid w:val="0136496F"/>
    <w:rsid w:val="01CC3C00"/>
    <w:rsid w:val="01F1317C"/>
    <w:rsid w:val="025F0565"/>
    <w:rsid w:val="0331682D"/>
    <w:rsid w:val="03643C29"/>
    <w:rsid w:val="03C70090"/>
    <w:rsid w:val="03F4784E"/>
    <w:rsid w:val="04537A17"/>
    <w:rsid w:val="04F34A04"/>
    <w:rsid w:val="057625B4"/>
    <w:rsid w:val="058C3C98"/>
    <w:rsid w:val="05A12D70"/>
    <w:rsid w:val="05F978C3"/>
    <w:rsid w:val="063B1841"/>
    <w:rsid w:val="063D7520"/>
    <w:rsid w:val="063D7DFD"/>
    <w:rsid w:val="06E262DC"/>
    <w:rsid w:val="07551FF2"/>
    <w:rsid w:val="076607A0"/>
    <w:rsid w:val="07DD7445"/>
    <w:rsid w:val="07F06A1B"/>
    <w:rsid w:val="080747BF"/>
    <w:rsid w:val="08A21CCC"/>
    <w:rsid w:val="098C29AE"/>
    <w:rsid w:val="0A121BA9"/>
    <w:rsid w:val="0A276CF1"/>
    <w:rsid w:val="0A5160E5"/>
    <w:rsid w:val="0A87295A"/>
    <w:rsid w:val="0A912D91"/>
    <w:rsid w:val="0ADD44F0"/>
    <w:rsid w:val="0AEB5542"/>
    <w:rsid w:val="0AF86923"/>
    <w:rsid w:val="0BA02509"/>
    <w:rsid w:val="0BC822D3"/>
    <w:rsid w:val="0C1C40B9"/>
    <w:rsid w:val="0C7D0BA0"/>
    <w:rsid w:val="0C87196C"/>
    <w:rsid w:val="0CE33E09"/>
    <w:rsid w:val="0CF7291F"/>
    <w:rsid w:val="0D2903B3"/>
    <w:rsid w:val="0D2F0508"/>
    <w:rsid w:val="0D9969A2"/>
    <w:rsid w:val="0DAC05EB"/>
    <w:rsid w:val="0E093356"/>
    <w:rsid w:val="0E8779C7"/>
    <w:rsid w:val="0EC048DF"/>
    <w:rsid w:val="0EEE1C77"/>
    <w:rsid w:val="0F202574"/>
    <w:rsid w:val="0F4629AB"/>
    <w:rsid w:val="0F5C03FE"/>
    <w:rsid w:val="0F883FCB"/>
    <w:rsid w:val="0F897A30"/>
    <w:rsid w:val="0F8C5DFC"/>
    <w:rsid w:val="0F9F0A21"/>
    <w:rsid w:val="10487703"/>
    <w:rsid w:val="10804EF7"/>
    <w:rsid w:val="10BE0677"/>
    <w:rsid w:val="119C0C20"/>
    <w:rsid w:val="119C329D"/>
    <w:rsid w:val="11B04516"/>
    <w:rsid w:val="12724DDC"/>
    <w:rsid w:val="128E15C9"/>
    <w:rsid w:val="12930DAE"/>
    <w:rsid w:val="12962D15"/>
    <w:rsid w:val="12C216A0"/>
    <w:rsid w:val="12EB427C"/>
    <w:rsid w:val="13135F99"/>
    <w:rsid w:val="13376915"/>
    <w:rsid w:val="13884ED8"/>
    <w:rsid w:val="138D55CF"/>
    <w:rsid w:val="140C31F6"/>
    <w:rsid w:val="151E7035"/>
    <w:rsid w:val="155E5853"/>
    <w:rsid w:val="15905B94"/>
    <w:rsid w:val="15977186"/>
    <w:rsid w:val="15E36240"/>
    <w:rsid w:val="16225CA4"/>
    <w:rsid w:val="16CD3AA8"/>
    <w:rsid w:val="179F23F1"/>
    <w:rsid w:val="17A05511"/>
    <w:rsid w:val="17A12E6C"/>
    <w:rsid w:val="17B4204E"/>
    <w:rsid w:val="17F53618"/>
    <w:rsid w:val="18587013"/>
    <w:rsid w:val="185943F8"/>
    <w:rsid w:val="18862194"/>
    <w:rsid w:val="18E810AC"/>
    <w:rsid w:val="1900218D"/>
    <w:rsid w:val="19261C71"/>
    <w:rsid w:val="19E56467"/>
    <w:rsid w:val="1A166266"/>
    <w:rsid w:val="1A842CE9"/>
    <w:rsid w:val="1A8F2AE9"/>
    <w:rsid w:val="1B1208B1"/>
    <w:rsid w:val="1B3E0003"/>
    <w:rsid w:val="1B8A0199"/>
    <w:rsid w:val="1B993684"/>
    <w:rsid w:val="1BBB2CD6"/>
    <w:rsid w:val="1BC76B49"/>
    <w:rsid w:val="1BCD74AD"/>
    <w:rsid w:val="1BDF0BBF"/>
    <w:rsid w:val="1C001EA2"/>
    <w:rsid w:val="1C234725"/>
    <w:rsid w:val="1C767538"/>
    <w:rsid w:val="1CA26100"/>
    <w:rsid w:val="1D0141A5"/>
    <w:rsid w:val="1D063444"/>
    <w:rsid w:val="1DD42801"/>
    <w:rsid w:val="1DE9282D"/>
    <w:rsid w:val="1DFF5EB0"/>
    <w:rsid w:val="1E116E3D"/>
    <w:rsid w:val="1E521740"/>
    <w:rsid w:val="1E612D08"/>
    <w:rsid w:val="1F5C6568"/>
    <w:rsid w:val="1FF9749A"/>
    <w:rsid w:val="2048163B"/>
    <w:rsid w:val="204943B2"/>
    <w:rsid w:val="2063437F"/>
    <w:rsid w:val="20A712EA"/>
    <w:rsid w:val="212A4CDB"/>
    <w:rsid w:val="215701CF"/>
    <w:rsid w:val="220B5951"/>
    <w:rsid w:val="22416AD1"/>
    <w:rsid w:val="22564BEA"/>
    <w:rsid w:val="22602402"/>
    <w:rsid w:val="2290450F"/>
    <w:rsid w:val="230D5302"/>
    <w:rsid w:val="230F4BBC"/>
    <w:rsid w:val="23125D7D"/>
    <w:rsid w:val="237233CB"/>
    <w:rsid w:val="23A8331E"/>
    <w:rsid w:val="23B57168"/>
    <w:rsid w:val="23E30653"/>
    <w:rsid w:val="24423AD3"/>
    <w:rsid w:val="2459385A"/>
    <w:rsid w:val="247C4457"/>
    <w:rsid w:val="248D3585"/>
    <w:rsid w:val="249E0FF5"/>
    <w:rsid w:val="24B02A38"/>
    <w:rsid w:val="24E71476"/>
    <w:rsid w:val="2519272F"/>
    <w:rsid w:val="253321E3"/>
    <w:rsid w:val="257E10C9"/>
    <w:rsid w:val="264A476F"/>
    <w:rsid w:val="26733242"/>
    <w:rsid w:val="26A45FEA"/>
    <w:rsid w:val="26B73D17"/>
    <w:rsid w:val="26E15395"/>
    <w:rsid w:val="26E318BF"/>
    <w:rsid w:val="270E5F2F"/>
    <w:rsid w:val="273F36F5"/>
    <w:rsid w:val="27AD2F6E"/>
    <w:rsid w:val="27E93EC6"/>
    <w:rsid w:val="27F56926"/>
    <w:rsid w:val="285942E2"/>
    <w:rsid w:val="290A4913"/>
    <w:rsid w:val="29533DC6"/>
    <w:rsid w:val="29E32F40"/>
    <w:rsid w:val="2ABE232D"/>
    <w:rsid w:val="2AF23F7E"/>
    <w:rsid w:val="2B907A74"/>
    <w:rsid w:val="2B91696E"/>
    <w:rsid w:val="2B920DE0"/>
    <w:rsid w:val="2BAA1F72"/>
    <w:rsid w:val="2C3F65FE"/>
    <w:rsid w:val="2C7B38ED"/>
    <w:rsid w:val="2C7D6E2E"/>
    <w:rsid w:val="2CB05C4D"/>
    <w:rsid w:val="2CF138CE"/>
    <w:rsid w:val="2D1F3439"/>
    <w:rsid w:val="2D517F39"/>
    <w:rsid w:val="2D952F6E"/>
    <w:rsid w:val="2D960C14"/>
    <w:rsid w:val="2D9C5E1F"/>
    <w:rsid w:val="2E385C20"/>
    <w:rsid w:val="2ED63400"/>
    <w:rsid w:val="2F242356"/>
    <w:rsid w:val="2F410913"/>
    <w:rsid w:val="2F434B27"/>
    <w:rsid w:val="30767047"/>
    <w:rsid w:val="30C454F0"/>
    <w:rsid w:val="30CC1EB4"/>
    <w:rsid w:val="31F177B0"/>
    <w:rsid w:val="323067E7"/>
    <w:rsid w:val="32953579"/>
    <w:rsid w:val="32C1163E"/>
    <w:rsid w:val="32D41A23"/>
    <w:rsid w:val="336C6164"/>
    <w:rsid w:val="337E4ED7"/>
    <w:rsid w:val="33842054"/>
    <w:rsid w:val="33F00908"/>
    <w:rsid w:val="347E5F46"/>
    <w:rsid w:val="34806AEE"/>
    <w:rsid w:val="357E1DD2"/>
    <w:rsid w:val="359A33AC"/>
    <w:rsid w:val="35A55456"/>
    <w:rsid w:val="35BD194F"/>
    <w:rsid w:val="36030CFE"/>
    <w:rsid w:val="36056E7E"/>
    <w:rsid w:val="3615005C"/>
    <w:rsid w:val="36372BEB"/>
    <w:rsid w:val="36BC7BF1"/>
    <w:rsid w:val="36C764F5"/>
    <w:rsid w:val="374054AA"/>
    <w:rsid w:val="378A1DC0"/>
    <w:rsid w:val="37B949D5"/>
    <w:rsid w:val="37E77B9B"/>
    <w:rsid w:val="389676BA"/>
    <w:rsid w:val="398428A9"/>
    <w:rsid w:val="39B92B99"/>
    <w:rsid w:val="3A1E0E6E"/>
    <w:rsid w:val="3A367996"/>
    <w:rsid w:val="3A510B03"/>
    <w:rsid w:val="3A8C5BF7"/>
    <w:rsid w:val="3A944FC6"/>
    <w:rsid w:val="3AFC5472"/>
    <w:rsid w:val="3C5C1D16"/>
    <w:rsid w:val="3C9729C8"/>
    <w:rsid w:val="3CA1617E"/>
    <w:rsid w:val="3CA54849"/>
    <w:rsid w:val="3D6F1491"/>
    <w:rsid w:val="3D9A74CB"/>
    <w:rsid w:val="3DA20B5E"/>
    <w:rsid w:val="3DF273F6"/>
    <w:rsid w:val="3E0612C6"/>
    <w:rsid w:val="3E254099"/>
    <w:rsid w:val="3F8F027E"/>
    <w:rsid w:val="3FA56653"/>
    <w:rsid w:val="3FAB4DE9"/>
    <w:rsid w:val="408465D1"/>
    <w:rsid w:val="40B21CA9"/>
    <w:rsid w:val="40BA2898"/>
    <w:rsid w:val="40FA6DCC"/>
    <w:rsid w:val="41BA675D"/>
    <w:rsid w:val="41DF3752"/>
    <w:rsid w:val="4214709E"/>
    <w:rsid w:val="42184A1A"/>
    <w:rsid w:val="4244581C"/>
    <w:rsid w:val="429C4BB2"/>
    <w:rsid w:val="42B3753D"/>
    <w:rsid w:val="42FA6813"/>
    <w:rsid w:val="4322189F"/>
    <w:rsid w:val="43712B16"/>
    <w:rsid w:val="439336BC"/>
    <w:rsid w:val="445653C0"/>
    <w:rsid w:val="44D833F6"/>
    <w:rsid w:val="44DF244D"/>
    <w:rsid w:val="45375669"/>
    <w:rsid w:val="454E4F44"/>
    <w:rsid w:val="459F4073"/>
    <w:rsid w:val="46977388"/>
    <w:rsid w:val="4699166D"/>
    <w:rsid w:val="46AC1546"/>
    <w:rsid w:val="46CD2D9F"/>
    <w:rsid w:val="46D93CA8"/>
    <w:rsid w:val="46EA5A39"/>
    <w:rsid w:val="47005318"/>
    <w:rsid w:val="470E1013"/>
    <w:rsid w:val="47600B29"/>
    <w:rsid w:val="477B7308"/>
    <w:rsid w:val="481335CE"/>
    <w:rsid w:val="48F422C6"/>
    <w:rsid w:val="48F812ED"/>
    <w:rsid w:val="493F0704"/>
    <w:rsid w:val="49803B91"/>
    <w:rsid w:val="4A026112"/>
    <w:rsid w:val="4A037C85"/>
    <w:rsid w:val="4A1A2277"/>
    <w:rsid w:val="4A3C454D"/>
    <w:rsid w:val="4A6661C3"/>
    <w:rsid w:val="4A722314"/>
    <w:rsid w:val="4AC2086B"/>
    <w:rsid w:val="4AE86C89"/>
    <w:rsid w:val="4B0A0336"/>
    <w:rsid w:val="4B202C2F"/>
    <w:rsid w:val="4B271FF1"/>
    <w:rsid w:val="4BA542DC"/>
    <w:rsid w:val="4BD4345B"/>
    <w:rsid w:val="4C9E56C7"/>
    <w:rsid w:val="4D011BD8"/>
    <w:rsid w:val="4D052A34"/>
    <w:rsid w:val="4D37178C"/>
    <w:rsid w:val="4D591C9E"/>
    <w:rsid w:val="4D6233F6"/>
    <w:rsid w:val="4DF76D7D"/>
    <w:rsid w:val="4E346989"/>
    <w:rsid w:val="4E3509A3"/>
    <w:rsid w:val="4E4F4393"/>
    <w:rsid w:val="4E5C7B53"/>
    <w:rsid w:val="4E785092"/>
    <w:rsid w:val="4EAA4A00"/>
    <w:rsid w:val="4ED50551"/>
    <w:rsid w:val="4F472660"/>
    <w:rsid w:val="4F987F8C"/>
    <w:rsid w:val="4F9D135B"/>
    <w:rsid w:val="4FC96CF4"/>
    <w:rsid w:val="4FD3541A"/>
    <w:rsid w:val="4FE311F5"/>
    <w:rsid w:val="502531D8"/>
    <w:rsid w:val="50E75EE0"/>
    <w:rsid w:val="50EE4670"/>
    <w:rsid w:val="50F42DD2"/>
    <w:rsid w:val="51352880"/>
    <w:rsid w:val="51535336"/>
    <w:rsid w:val="518A79A8"/>
    <w:rsid w:val="519C16C4"/>
    <w:rsid w:val="52811433"/>
    <w:rsid w:val="5298273F"/>
    <w:rsid w:val="52C979AE"/>
    <w:rsid w:val="532010A8"/>
    <w:rsid w:val="53E15E09"/>
    <w:rsid w:val="54075173"/>
    <w:rsid w:val="54857B21"/>
    <w:rsid w:val="549812BC"/>
    <w:rsid w:val="54E51BCF"/>
    <w:rsid w:val="54EE18E4"/>
    <w:rsid w:val="555A7092"/>
    <w:rsid w:val="5654501D"/>
    <w:rsid w:val="568E4E0A"/>
    <w:rsid w:val="56A11425"/>
    <w:rsid w:val="56DF2795"/>
    <w:rsid w:val="56F90CAF"/>
    <w:rsid w:val="57E74708"/>
    <w:rsid w:val="57E8649D"/>
    <w:rsid w:val="58175555"/>
    <w:rsid w:val="58923ADF"/>
    <w:rsid w:val="589D41C1"/>
    <w:rsid w:val="58C67C45"/>
    <w:rsid w:val="58CA093F"/>
    <w:rsid w:val="58F45829"/>
    <w:rsid w:val="59165EC7"/>
    <w:rsid w:val="592D145D"/>
    <w:rsid w:val="59603D6F"/>
    <w:rsid w:val="59827BB5"/>
    <w:rsid w:val="5A4C3238"/>
    <w:rsid w:val="5A5F44E4"/>
    <w:rsid w:val="5AF4358E"/>
    <w:rsid w:val="5B3257BD"/>
    <w:rsid w:val="5B961925"/>
    <w:rsid w:val="5BE6574E"/>
    <w:rsid w:val="5C862D12"/>
    <w:rsid w:val="5CF6578A"/>
    <w:rsid w:val="5D0122EF"/>
    <w:rsid w:val="5D0A1A75"/>
    <w:rsid w:val="5D285253"/>
    <w:rsid w:val="5DA372BC"/>
    <w:rsid w:val="5DB437BE"/>
    <w:rsid w:val="5DC07DD7"/>
    <w:rsid w:val="5EA246CE"/>
    <w:rsid w:val="5ED17C79"/>
    <w:rsid w:val="5F31265B"/>
    <w:rsid w:val="5F9751BF"/>
    <w:rsid w:val="5FB64838"/>
    <w:rsid w:val="5FBB00EB"/>
    <w:rsid w:val="5FDD423F"/>
    <w:rsid w:val="5FE963FA"/>
    <w:rsid w:val="60311028"/>
    <w:rsid w:val="60476D6E"/>
    <w:rsid w:val="60A94058"/>
    <w:rsid w:val="61155C32"/>
    <w:rsid w:val="61626ECC"/>
    <w:rsid w:val="61B4664A"/>
    <w:rsid w:val="61D8220A"/>
    <w:rsid w:val="622207D5"/>
    <w:rsid w:val="627915C9"/>
    <w:rsid w:val="627E0E8F"/>
    <w:rsid w:val="62D24913"/>
    <w:rsid w:val="62F97073"/>
    <w:rsid w:val="6304713F"/>
    <w:rsid w:val="637219C7"/>
    <w:rsid w:val="63993EAB"/>
    <w:rsid w:val="63B60649"/>
    <w:rsid w:val="64B8379D"/>
    <w:rsid w:val="64BB2A7A"/>
    <w:rsid w:val="64E94BF3"/>
    <w:rsid w:val="6556239F"/>
    <w:rsid w:val="65853065"/>
    <w:rsid w:val="6593279F"/>
    <w:rsid w:val="65A255AA"/>
    <w:rsid w:val="66AA5290"/>
    <w:rsid w:val="66BE6ED0"/>
    <w:rsid w:val="66F933D6"/>
    <w:rsid w:val="671321BE"/>
    <w:rsid w:val="674721C7"/>
    <w:rsid w:val="684B5A0A"/>
    <w:rsid w:val="687065EF"/>
    <w:rsid w:val="68E62CD7"/>
    <w:rsid w:val="69553127"/>
    <w:rsid w:val="69936685"/>
    <w:rsid w:val="6A351234"/>
    <w:rsid w:val="6A37639E"/>
    <w:rsid w:val="6A5E31DE"/>
    <w:rsid w:val="6A8E59B2"/>
    <w:rsid w:val="6ACD7F2D"/>
    <w:rsid w:val="6AD34B19"/>
    <w:rsid w:val="6AF129BA"/>
    <w:rsid w:val="6AFE335A"/>
    <w:rsid w:val="6B0A51FC"/>
    <w:rsid w:val="6B2350A6"/>
    <w:rsid w:val="6B726FC0"/>
    <w:rsid w:val="6B8D6E24"/>
    <w:rsid w:val="6BDF0103"/>
    <w:rsid w:val="6BF92C8F"/>
    <w:rsid w:val="6C2B38F7"/>
    <w:rsid w:val="6CA470BB"/>
    <w:rsid w:val="6CDB682F"/>
    <w:rsid w:val="6DE802C2"/>
    <w:rsid w:val="6E6E6E3E"/>
    <w:rsid w:val="6E841606"/>
    <w:rsid w:val="6E9A1247"/>
    <w:rsid w:val="6EC66E88"/>
    <w:rsid w:val="6F991133"/>
    <w:rsid w:val="70951A9A"/>
    <w:rsid w:val="70F9192E"/>
    <w:rsid w:val="714C2F47"/>
    <w:rsid w:val="715F2D1C"/>
    <w:rsid w:val="719F304B"/>
    <w:rsid w:val="71BD383E"/>
    <w:rsid w:val="71E107CB"/>
    <w:rsid w:val="7212298B"/>
    <w:rsid w:val="72D91A28"/>
    <w:rsid w:val="733E7B7A"/>
    <w:rsid w:val="73D05BB5"/>
    <w:rsid w:val="740059EF"/>
    <w:rsid w:val="740268FD"/>
    <w:rsid w:val="74086BAC"/>
    <w:rsid w:val="741A23B4"/>
    <w:rsid w:val="74685BF6"/>
    <w:rsid w:val="74A5717F"/>
    <w:rsid w:val="75062EBF"/>
    <w:rsid w:val="750B6AE7"/>
    <w:rsid w:val="75175FA9"/>
    <w:rsid w:val="752D7DD7"/>
    <w:rsid w:val="75766F52"/>
    <w:rsid w:val="7637684A"/>
    <w:rsid w:val="767574BB"/>
    <w:rsid w:val="76781C65"/>
    <w:rsid w:val="76D13A66"/>
    <w:rsid w:val="773918AE"/>
    <w:rsid w:val="779119DE"/>
    <w:rsid w:val="77AD2FD5"/>
    <w:rsid w:val="7802441D"/>
    <w:rsid w:val="780B7B98"/>
    <w:rsid w:val="782D746C"/>
    <w:rsid w:val="785E0132"/>
    <w:rsid w:val="78AE5380"/>
    <w:rsid w:val="78CA7ECA"/>
    <w:rsid w:val="78CC1BA3"/>
    <w:rsid w:val="78DF169B"/>
    <w:rsid w:val="795B5BD3"/>
    <w:rsid w:val="79635CCA"/>
    <w:rsid w:val="798448C3"/>
    <w:rsid w:val="79EA7DC3"/>
    <w:rsid w:val="7A112FD8"/>
    <w:rsid w:val="7A54611B"/>
    <w:rsid w:val="7A7E543C"/>
    <w:rsid w:val="7AB55436"/>
    <w:rsid w:val="7AC54C16"/>
    <w:rsid w:val="7AF335F8"/>
    <w:rsid w:val="7AF44587"/>
    <w:rsid w:val="7AF958CA"/>
    <w:rsid w:val="7B5613CF"/>
    <w:rsid w:val="7B65151E"/>
    <w:rsid w:val="7B992D71"/>
    <w:rsid w:val="7C1709B7"/>
    <w:rsid w:val="7C5E1969"/>
    <w:rsid w:val="7C600037"/>
    <w:rsid w:val="7C926EB0"/>
    <w:rsid w:val="7CAC0A6E"/>
    <w:rsid w:val="7D2E255B"/>
    <w:rsid w:val="7D3816DE"/>
    <w:rsid w:val="7DD62379"/>
    <w:rsid w:val="7E330FA6"/>
    <w:rsid w:val="7E4336B9"/>
    <w:rsid w:val="7E593BEE"/>
    <w:rsid w:val="7E783708"/>
    <w:rsid w:val="7F1F2188"/>
    <w:rsid w:val="7F46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line="576" w:lineRule="auto"/>
      <w:outlineLvl w:val="0"/>
    </w:pPr>
    <w:rPr>
      <w:b/>
      <w:kern w:val="44"/>
      <w:sz w:val="44"/>
    </w:rPr>
  </w:style>
  <w:style w:type="paragraph" w:styleId="3">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字符"/>
    <w:basedOn w:val="14"/>
    <w:link w:val="2"/>
    <w:qFormat/>
    <w:uiPriority w:val="0"/>
    <w:rPr>
      <w:rFonts w:hint="default" w:ascii="Calibri" w:hAnsi="Calibri" w:cs="Calibri"/>
      <w:b/>
      <w:kern w:val="44"/>
      <w:sz w:val="44"/>
      <w:szCs w:val="44"/>
    </w:rPr>
  </w:style>
  <w:style w:type="character" w:customStyle="1" w:styleId="20">
    <w:name w:val="批注文字 Char2"/>
    <w:basedOn w:val="14"/>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字符"/>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spacing w:before="150" w:after="150"/>
      <w:jc w:val="left"/>
    </w:pPr>
    <w:rPr>
      <w:rFonts w:hint="eastAsia" w:ascii="宋体" w:hAnsi="宋体" w:eastAsia="宋体" w:cs="Times New Roman"/>
      <w:kern w:val="0"/>
      <w:sz w:val="24"/>
    </w:rPr>
  </w:style>
  <w:style w:type="character" w:customStyle="1" w:styleId="24">
    <w:name w:val="批注文字 字符"/>
    <w:basedOn w:val="14"/>
    <w:link w:val="6"/>
    <w:qFormat/>
    <w:uiPriority w:val="0"/>
    <w:rPr>
      <w:rFonts w:hint="default" w:ascii="Calibri" w:hAnsi="Calibri" w:cs="Calibri"/>
      <w:kern w:val="2"/>
      <w:sz w:val="21"/>
      <w:szCs w:val="22"/>
    </w:rPr>
  </w:style>
  <w:style w:type="character" w:customStyle="1" w:styleId="25">
    <w:name w:val="正文文本 Char"/>
    <w:basedOn w:val="14"/>
    <w:qFormat/>
    <w:uiPriority w:val="0"/>
    <w:rPr>
      <w:rFonts w:hint="eastAsia" w:ascii="宋体" w:hAnsi="宋体" w:eastAsia="宋体" w:cs="宋体"/>
      <w:kern w:val="2"/>
      <w:sz w:val="24"/>
      <w:szCs w:val="24"/>
    </w:rPr>
  </w:style>
  <w:style w:type="character" w:customStyle="1" w:styleId="26">
    <w:name w:val="文档结构图 Char1"/>
    <w:basedOn w:val="14"/>
    <w:qFormat/>
    <w:uiPriority w:val="0"/>
    <w:rPr>
      <w:rFonts w:hint="eastAsia" w:ascii="宋体" w:hAnsi="Calibri" w:eastAsia="宋体" w:cs="宋体"/>
      <w:kern w:val="2"/>
      <w:sz w:val="18"/>
      <w:szCs w:val="18"/>
    </w:rPr>
  </w:style>
  <w:style w:type="character" w:customStyle="1" w:styleId="27">
    <w:name w:val="批注框文本 Char"/>
    <w:basedOn w:val="14"/>
    <w:qFormat/>
    <w:uiPriority w:val="0"/>
    <w:rPr>
      <w:sz w:val="18"/>
      <w:szCs w:val="18"/>
    </w:rPr>
  </w:style>
  <w:style w:type="character" w:customStyle="1" w:styleId="28">
    <w:name w:val="页脚 Char1"/>
    <w:basedOn w:val="14"/>
    <w:qFormat/>
    <w:uiPriority w:val="0"/>
    <w:rPr>
      <w:rFonts w:hint="default" w:ascii="Calibri" w:hAnsi="Calibri" w:cs="Calibri"/>
      <w:kern w:val="2"/>
      <w:sz w:val="18"/>
      <w:szCs w:val="18"/>
    </w:rPr>
  </w:style>
  <w:style w:type="character" w:customStyle="1" w:styleId="29">
    <w:name w:val="标题 2 字符"/>
    <w:basedOn w:val="14"/>
    <w:link w:val="3"/>
    <w:qFormat/>
    <w:uiPriority w:val="0"/>
    <w:rPr>
      <w:rFonts w:hint="default" w:ascii="Cambria" w:hAnsi="Cambria" w:eastAsia="Cambria" w:cs="Cambria"/>
      <w:b/>
      <w:kern w:val="2"/>
      <w:sz w:val="32"/>
      <w:szCs w:val="32"/>
    </w:rPr>
  </w:style>
  <w:style w:type="character" w:customStyle="1" w:styleId="30">
    <w:name w:val="文档结构图 字符"/>
    <w:basedOn w:val="14"/>
    <w:link w:val="5"/>
    <w:qFormat/>
    <w:uiPriority w:val="0"/>
    <w:rPr>
      <w:rFonts w:hint="eastAsia" w:ascii="宋体" w:hAnsi="Calibri" w:eastAsia="宋体" w:cs="宋体"/>
      <w:kern w:val="2"/>
      <w:sz w:val="18"/>
      <w:szCs w:val="18"/>
    </w:rPr>
  </w:style>
  <w:style w:type="character" w:customStyle="1" w:styleId="31">
    <w:name w:val="页脚 字符"/>
    <w:basedOn w:val="14"/>
    <w:link w:val="9"/>
    <w:qFormat/>
    <w:uiPriority w:val="0"/>
    <w:rPr>
      <w:sz w:val="18"/>
      <w:szCs w:val="18"/>
    </w:rPr>
  </w:style>
  <w:style w:type="character" w:customStyle="1" w:styleId="32">
    <w:name w:val="页眉 Char"/>
    <w:basedOn w:val="14"/>
    <w:qFormat/>
    <w:uiPriority w:val="0"/>
    <w:rPr>
      <w:sz w:val="18"/>
      <w:szCs w:val="18"/>
    </w:rPr>
  </w:style>
  <w:style w:type="character" w:customStyle="1" w:styleId="33">
    <w:name w:val="页眉 字符"/>
    <w:basedOn w:val="14"/>
    <w:link w:val="10"/>
    <w:qFormat/>
    <w:uiPriority w:val="0"/>
    <w:rPr>
      <w:rFonts w:hint="default" w:ascii="Calibri" w:hAnsi="Calibri" w:cs="Calibri"/>
      <w:kern w:val="2"/>
      <w:sz w:val="18"/>
      <w:szCs w:val="18"/>
    </w:rPr>
  </w:style>
  <w:style w:type="character" w:customStyle="1" w:styleId="34">
    <w:name w:val="正文文本 字符"/>
    <w:basedOn w:val="14"/>
    <w:link w:val="7"/>
    <w:qFormat/>
    <w:uiPriority w:val="0"/>
    <w:rPr>
      <w:rFonts w:hint="default" w:ascii="Calibri" w:hAnsi="Calibri" w:cs="Calibri"/>
      <w:kern w:val="2"/>
      <w:sz w:val="21"/>
      <w:szCs w:val="22"/>
    </w:rPr>
  </w:style>
  <w:style w:type="character" w:customStyle="1" w:styleId="35">
    <w:name w:val="批注框文本 字符"/>
    <w:basedOn w:val="14"/>
    <w:link w:val="8"/>
    <w:qFormat/>
    <w:uiPriority w:val="0"/>
    <w:rPr>
      <w:rFonts w:hint="default" w:ascii="Calibri" w:hAnsi="Calibri" w:cs="Calibri"/>
      <w:kern w:val="2"/>
      <w:sz w:val="18"/>
      <w:szCs w:val="18"/>
    </w:rPr>
  </w:style>
  <w:style w:type="character" w:customStyle="1" w:styleId="36">
    <w:name w:val="font11"/>
    <w:basedOn w:val="14"/>
    <w:qFormat/>
    <w:uiPriority w:val="0"/>
    <w:rPr>
      <w:rFonts w:hint="eastAsia" w:ascii="宋体" w:hAnsi="宋体" w:eastAsia="宋体" w:cs="宋体"/>
      <w:color w:val="000000"/>
      <w:sz w:val="18"/>
      <w:szCs w:val="18"/>
      <w:u w:val="none"/>
    </w:rPr>
  </w:style>
  <w:style w:type="character" w:customStyle="1" w:styleId="37">
    <w:name w:val="font01"/>
    <w:basedOn w:val="14"/>
    <w:qFormat/>
    <w:uiPriority w:val="0"/>
    <w:rPr>
      <w:rFonts w:hint="eastAsia" w:ascii="宋体" w:hAnsi="宋体" w:eastAsia="宋体" w:cs="宋体"/>
      <w:i/>
      <w:color w:val="000000"/>
      <w:sz w:val="18"/>
      <w:szCs w:val="18"/>
      <w:u w:val="none"/>
    </w:rPr>
  </w:style>
  <w:style w:type="character" w:customStyle="1" w:styleId="38">
    <w:name w:val="font21"/>
    <w:basedOn w:val="14"/>
    <w:qFormat/>
    <w:uiPriority w:val="0"/>
    <w:rPr>
      <w:rFonts w:hint="eastAsia" w:ascii="宋体" w:hAnsi="宋体" w:eastAsia="宋体" w:cs="宋体"/>
      <w:color w:val="000000"/>
      <w:sz w:val="18"/>
      <w:szCs w:val="18"/>
      <w:u w:val="none"/>
    </w:rPr>
  </w:style>
  <w:style w:type="character" w:customStyle="1" w:styleId="39">
    <w:name w:val="font61"/>
    <w:basedOn w:val="14"/>
    <w:qFormat/>
    <w:uiPriority w:val="0"/>
    <w:rPr>
      <w:rFonts w:hint="eastAsia" w:ascii="宋体" w:hAnsi="宋体" w:eastAsia="宋体" w:cs="宋体"/>
      <w:i/>
      <w:color w:val="000000"/>
      <w:sz w:val="18"/>
      <w:szCs w:val="18"/>
      <w:u w:val="none"/>
    </w:rPr>
  </w:style>
  <w:style w:type="character" w:customStyle="1" w:styleId="40">
    <w:name w:val="font51"/>
    <w:basedOn w:val="14"/>
    <w:qFormat/>
    <w:uiPriority w:val="0"/>
    <w:rPr>
      <w:rFonts w:hint="eastAsia" w:ascii="宋体" w:hAnsi="宋体" w:eastAsia="宋体" w:cs="宋体"/>
      <w:color w:val="000000"/>
      <w:sz w:val="22"/>
      <w:szCs w:val="22"/>
      <w:u w:val="none"/>
    </w:rPr>
  </w:style>
  <w:style w:type="character" w:customStyle="1" w:styleId="41">
    <w:name w:val="font31"/>
    <w:basedOn w:val="14"/>
    <w:qFormat/>
    <w:uiPriority w:val="0"/>
    <w:rPr>
      <w:rFonts w:hint="eastAsia" w:ascii="宋体" w:hAnsi="宋体" w:eastAsia="宋体" w:cs="宋体"/>
      <w:color w:val="000000"/>
      <w:sz w:val="18"/>
      <w:szCs w:val="18"/>
      <w:u w:val="none"/>
    </w:rPr>
  </w:style>
  <w:style w:type="paragraph" w:customStyle="1" w:styleId="42">
    <w:name w:val="_Style 41"/>
    <w:basedOn w:val="1"/>
    <w:next w:val="43"/>
    <w:link w:val="44"/>
    <w:qFormat/>
    <w:uiPriority w:val="99"/>
    <w:pPr>
      <w:spacing w:line="360" w:lineRule="auto"/>
      <w:ind w:firstLine="420" w:firstLineChars="200"/>
    </w:pPr>
    <w:rPr>
      <w:rFonts w:ascii="Times New Roman" w:hAnsi="Times New Roman" w:eastAsia="宋体" w:cs="Times New Roman"/>
      <w:szCs w:val="21"/>
      <w:lang w:val="zh-CN"/>
    </w:rPr>
  </w:style>
  <w:style w:type="paragraph" w:styleId="43">
    <w:name w:val="List Paragraph"/>
    <w:basedOn w:val="1"/>
    <w:qFormat/>
    <w:uiPriority w:val="99"/>
    <w:pPr>
      <w:ind w:firstLine="420" w:firstLineChars="200"/>
    </w:pPr>
  </w:style>
  <w:style w:type="character" w:customStyle="1" w:styleId="44">
    <w:name w:val="列出段落 Char"/>
    <w:link w:val="42"/>
    <w:qFormat/>
    <w:locked/>
    <w:uiPriority w:val="99"/>
    <w:rPr>
      <w:kern w:val="2"/>
      <w:sz w:val="21"/>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7"/>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9312</Words>
  <Characters>53081</Characters>
  <Lines>442</Lines>
  <Paragraphs>124</Paragraphs>
  <TotalTime>18</TotalTime>
  <ScaleCrop>false</ScaleCrop>
  <LinksUpToDate>false</LinksUpToDate>
  <CharactersWithSpaces>62269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2020-12-14T03:22:00Z</cp:lastPrinted>
  <dcterms:modified xsi:type="dcterms:W3CDTF">2021-01-12T06:44:55Z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500924187_cloud</vt:lpwstr>
  </property>
</Properties>
</file>