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b/>
          <w:sz w:val="28"/>
          <w:szCs w:val="28"/>
          <w:highlight w:val="none"/>
        </w:rPr>
        <w:t>江津区四屏镇旺龙村还房安置（二期）工程</w:t>
      </w:r>
      <w:r>
        <w:rPr>
          <w:rFonts w:hint="eastAsia" w:ascii="黑体" w:hAnsi="宋体" w:eastAsia="黑体" w:cs="黑体"/>
          <w:b/>
          <w:sz w:val="28"/>
          <w:szCs w:val="28"/>
          <w:highlight w:val="none"/>
          <w:lang w:eastAsia="zh-CN"/>
        </w:rPr>
        <w:t>渣土外运</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2021-04-1001</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highlight w:val="none"/>
          <w:u w:val="single"/>
          <w14:textFill>
            <w14:solidFill>
              <w14:schemeClr w14:val="tx1"/>
            </w14:solidFill>
          </w14:textFill>
        </w:rPr>
        <w:t>江津区四屏镇旺龙村还房安置（二期）工程</w:t>
      </w:r>
      <w:r>
        <w:rPr>
          <w:rFonts w:hint="eastAsia" w:ascii="宋体" w:hAnsi="宋体" w:cs="宋体"/>
          <w:color w:val="000000" w:themeColor="text1"/>
          <w:sz w:val="28"/>
          <w:highlight w:val="none"/>
          <w:u w:val="single"/>
          <w:lang w:eastAsia="zh-CN"/>
          <w14:textFill>
            <w14:solidFill>
              <w14:schemeClr w14:val="tx1"/>
            </w14:solidFill>
          </w14:textFill>
        </w:rPr>
        <w:t>渣土外运</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宋体" w:hAnsi="宋体" w:cs="宋体"/>
          <w:color w:val="000000" w:themeColor="text1"/>
          <w:sz w:val="28"/>
          <w:highlight w:val="none"/>
          <w14:textFill>
            <w14:solidFill>
              <w14:schemeClr w14:val="tx1"/>
            </w14:solidFill>
          </w14:textFill>
        </w:rPr>
        <w:t>江津区四屏镇旺龙村还房安置（二期）工程</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外运渣土工程量为</w:t>
      </w:r>
      <w:r>
        <w:rPr>
          <w:rFonts w:hint="eastAsia" w:ascii="Times New Roman" w:hAnsi="Times New Roman" w:cs="Times New Roman"/>
          <w:i w:val="0"/>
          <w:color w:val="000000"/>
          <w:kern w:val="0"/>
          <w:sz w:val="28"/>
          <w:szCs w:val="28"/>
          <w:u w:val="none"/>
          <w:lang w:val="en-US" w:eastAsia="zh-CN" w:bidi="ar"/>
        </w:rPr>
        <w:t>184591.86</w:t>
      </w:r>
      <w:r>
        <w:rPr>
          <w:rFonts w:hint="eastAsia" w:ascii="Times New Roman" w:hAnsi="Times New Roman" w:cs="Times New Roman"/>
          <w:i w:val="0"/>
          <w:color w:val="000000"/>
          <w:sz w:val="28"/>
          <w:szCs w:val="28"/>
          <w:u w:val="none"/>
          <w:lang w:eastAsia="zh-CN"/>
        </w:rPr>
        <w:t>吨</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u w:val="none"/>
          <w:lang w:val="en-US" w:eastAsia="zh-CN"/>
        </w:rPr>
        <w:t>暂定4个月</w:t>
      </w:r>
      <w:r>
        <w:rPr>
          <w:rFonts w:hint="eastAsia" w:ascii="宋体" w:hAnsi="宋体"/>
          <w:bCs/>
          <w:sz w:val="28"/>
          <w:u w:val="none"/>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宋体" w:hAnsi="宋体"/>
          <w:bCs/>
          <w:sz w:val="28"/>
          <w:u w:val="none"/>
        </w:rPr>
        <w:t>重庆市</w:t>
      </w:r>
      <w:r>
        <w:rPr>
          <w:rFonts w:hint="eastAsia" w:ascii="宋体" w:hAnsi="宋体"/>
          <w:bCs/>
          <w:sz w:val="28"/>
          <w:u w:val="none"/>
          <w:lang w:eastAsia="zh-CN"/>
        </w:rPr>
        <w:t>江津区四屏镇</w:t>
      </w:r>
      <w:r>
        <w:rPr>
          <w:rFonts w:hint="eastAsia" w:asciiTheme="minorEastAsia" w:hAnsiTheme="minorEastAsia" w:eastAsiaTheme="minorEastAsia" w:cstheme="minorEastAsia"/>
          <w:color w:val="000000"/>
          <w:kern w:val="0"/>
          <w:sz w:val="28"/>
          <w:szCs w:val="28"/>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1</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12</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项目：江津区四屏镇旺龙村还房安置（二期）工程</w:t>
            </w:r>
          </w:p>
          <w:p>
            <w:pPr>
              <w:tabs>
                <w:tab w:val="right" w:pos="8674"/>
              </w:tabs>
              <w:snapToGrid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重庆市</w:t>
            </w:r>
            <w:r>
              <w:rPr>
                <w:rFonts w:hint="eastAsia" w:ascii="宋体" w:hAnsi="宋体" w:cs="宋体"/>
                <w:color w:val="000000" w:themeColor="text1"/>
                <w:szCs w:val="21"/>
                <w:highlight w:val="none"/>
                <w:lang w:eastAsia="zh-CN"/>
                <w14:textFill>
                  <w14:solidFill>
                    <w14:schemeClr w14:val="tx1"/>
                  </w14:solidFill>
                </w14:textFill>
              </w:rPr>
              <w:t>江津区四屏镇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lang w:eastAsia="zh-CN"/>
              </w:rPr>
              <w:t>运输内容</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江津区四屏镇旺龙村还房安置（二期）工程场地内开挖土石方</w:t>
            </w:r>
            <w:r>
              <w:rPr>
                <w:rFonts w:hint="eastAsia" w:ascii="宋体" w:hAnsi="宋体" w:cs="宋体"/>
                <w:color w:val="000000" w:themeColor="text1"/>
                <w:szCs w:val="21"/>
                <w:highlight w:val="none"/>
                <w:lang w:val="en-US" w:eastAsia="zh-CN"/>
                <w14:textFill>
                  <w14:solidFill>
                    <w14:schemeClr w14:val="tx1"/>
                  </w14:solidFill>
                </w14:textFill>
              </w:rPr>
              <w:t>运输至指定合法渣场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运输</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数量</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184591.86吨。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cs="方正仿宋_GBK" w:asciiTheme="minorEastAsia" w:hAnsiTheme="minorEastAsia" w:eastAsiaTheme="minorEastAsia"/>
                <w:szCs w:val="21"/>
                <w:highlight w:val="none"/>
              </w:rPr>
              <w:t>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暂定4个月。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0"/>
              </w:numPr>
              <w:snapToGrid w:val="0"/>
              <w:spacing w:line="240" w:lineRule="auto"/>
              <w:jc w:val="center"/>
              <w:rPr>
                <w:rFonts w:hint="eastAsia" w:ascii="Calibri" w:hAnsi="Calibri" w:cs="Times New Roman"/>
                <w:color w:val="000000" w:themeColor="text1"/>
                <w:szCs w:val="22"/>
                <w:highlight w:val="none"/>
                <w14:textFill>
                  <w14:solidFill>
                    <w14:schemeClr w14:val="tx1"/>
                  </w14:solidFill>
                </w14:textFill>
              </w:rPr>
            </w:pPr>
            <w:r>
              <w:rPr>
                <w:rFonts w:hint="eastAsia" w:ascii="Calibri" w:hAnsi="Calibri" w:cs="Times New Roman"/>
                <w:color w:val="000000" w:themeColor="text1"/>
                <w:szCs w:val="22"/>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lang w:eastAsia="zh-CN"/>
              </w:rPr>
            </w:pPr>
            <w:r>
              <w:rPr>
                <w:rFonts w:hint="eastAsia"/>
                <w:lang w:eastAsia="zh-CN"/>
              </w:rPr>
              <w:t>供应商必须是重庆对外建设（集团）有限公司合格供方库内单位，且无失信记录。</w:t>
            </w:r>
          </w:p>
          <w:p>
            <w:pPr>
              <w:numPr>
                <w:ilvl w:val="0"/>
                <w:numId w:val="2"/>
              </w:numPr>
              <w:snapToGrid w:val="0"/>
              <w:spacing w:line="240" w:lineRule="auto"/>
              <w:jc w:val="left"/>
              <w:rPr>
                <w:rFonts w:hint="eastAsia"/>
                <w:lang w:eastAsia="zh-CN"/>
              </w:rPr>
            </w:pPr>
            <w:r>
              <w:rPr>
                <w:rFonts w:hint="eastAsia"/>
                <w:lang w:eastAsia="zh-CN"/>
              </w:rPr>
              <w:t>营业执照经营范围包含普通货运。</w:t>
            </w:r>
          </w:p>
          <w:p>
            <w:pPr>
              <w:numPr>
                <w:ilvl w:val="0"/>
                <w:numId w:val="2"/>
              </w:numPr>
              <w:snapToGrid w:val="0"/>
              <w:jc w:val="left"/>
              <w:rPr>
                <w:rFonts w:hint="eastAsia"/>
              </w:rPr>
            </w:pPr>
            <w:r>
              <w:rPr>
                <w:rFonts w:hint="eastAsia" w:ascii="Calibri" w:hAnsi="Calibri" w:eastAsia="宋体" w:cs="Times New Roman"/>
                <w:b w:val="0"/>
                <w:sz w:val="21"/>
                <w:szCs w:val="22"/>
              </w:rPr>
              <w:t>单位负责人为同一人或者存在控股、管理关系的不同单位不能同时参与投标</w:t>
            </w:r>
            <w:r>
              <w:rPr>
                <w:rFonts w:hint="eastAsia" w:ascii="Calibri" w:hAnsi="Calibri" w:eastAsia="宋体" w:cs="Times New Roman"/>
                <w:b w:val="0"/>
                <w:sz w:val="21"/>
                <w:szCs w:val="22"/>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Calibri" w:hAnsi="Calibri" w:cs="Times New Roman"/>
                <w:color w:val="000000" w:themeColor="text1"/>
                <w:sz w:val="21"/>
                <w:szCs w:val="22"/>
                <w:lang w:val="en-US" w:eastAsia="zh-CN"/>
                <w14:textFill>
                  <w14:solidFill>
                    <w14:schemeClr w14:val="tx1"/>
                  </w14:solidFill>
                </w14:textFill>
              </w:rPr>
              <w:t>119</w:t>
            </w:r>
            <w:r>
              <w:rPr>
                <w:rFonts w:hint="eastAsia" w:ascii="Calibri" w:hAnsi="Calibri" w:cs="Times New Roman"/>
                <w:color w:val="000000" w:themeColor="text1"/>
                <w:sz w:val="21"/>
                <w:szCs w:val="22"/>
                <w:lang w:val="en-US" w:eastAsia="zh-CN"/>
                <w14:textFill>
                  <w14:solidFill>
                    <w14:schemeClr w14:val="tx1"/>
                  </w14:solidFill>
                </w14:textFill>
              </w:rPr>
              <w:t>.</w:t>
            </w:r>
            <w:r>
              <w:rPr>
                <w:rFonts w:hint="eastAsia" w:ascii="Calibri" w:hAnsi="Calibri" w:cs="Times New Roman"/>
                <w:color w:val="000000" w:themeColor="text1"/>
                <w:sz w:val="21"/>
                <w:szCs w:val="22"/>
                <w:lang w:val="en-US" w:eastAsia="zh-CN"/>
                <w14:textFill>
                  <w14:solidFill>
                    <w14:schemeClr w14:val="tx1"/>
                  </w14:solidFill>
                </w14:textFill>
              </w:rPr>
              <w:t>984709</w:t>
            </w:r>
            <w:r>
              <w:rPr>
                <w:rFonts w:hint="eastAsia" w:ascii="Calibri" w:hAnsi="Calibri" w:cs="Times New Roman"/>
                <w:color w:val="000000" w:themeColor="text1"/>
                <w:sz w:val="21"/>
                <w:szCs w:val="22"/>
                <w:lang w:val="en-US" w:eastAsia="zh-CN"/>
                <w14:textFill>
                  <w14:solidFill>
                    <w14:schemeClr w14:val="tx1"/>
                  </w14:solidFill>
                </w14:textFill>
              </w:rPr>
              <w:t>万</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投标报价不得高于采购单位公布的最高限价且保留两位小数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运输</w:t>
            </w:r>
            <w:r>
              <w:rPr>
                <w:rFonts w:hint="eastAsia" w:ascii="宋体" w:hAnsi="宋体" w:cs="宋体"/>
                <w:color w:val="000000" w:themeColor="text1"/>
                <w:szCs w:val="21"/>
                <w:highlight w:val="none"/>
                <w14:textFill>
                  <w14:solidFill>
                    <w14:schemeClr w14:val="tx1"/>
                  </w14:solidFill>
                </w14:textFill>
              </w:rPr>
              <w:t>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暂定</w:t>
            </w:r>
            <w:r>
              <w:rPr>
                <w:rFonts w:hint="eastAsia" w:ascii="宋体" w:hAnsi="宋体" w:cs="宋体"/>
                <w:color w:val="000000" w:themeColor="text1"/>
                <w:kern w:val="2"/>
                <w:sz w:val="21"/>
                <w:szCs w:val="21"/>
                <w:highlight w:val="none"/>
                <w:lang w:val="en-US" w:eastAsia="zh-CN"/>
                <w14:textFill>
                  <w14:solidFill>
                    <w14:schemeClr w14:val="tx1"/>
                  </w14:solidFill>
                </w14:textFill>
              </w:rPr>
              <w:t>4个月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kern w:val="2"/>
                <w:sz w:val="21"/>
                <w:szCs w:val="21"/>
                <w:highlight w:val="none"/>
                <w:u w:val="none"/>
                <w:lang w:val="en-US" w:eastAsia="zh-CN" w:bidi="ar"/>
              </w:rPr>
              <w:t>每月25日对帐，次月25日前支付上月进度审核金额的70%，运输完毕办理结算后支付至100% 。</w:t>
            </w:r>
            <w:r>
              <w:rPr>
                <w:rFonts w:hint="eastAsia" w:ascii="宋体" w:hAnsi="宋体" w:cs="宋体"/>
                <w:color w:val="000000" w:themeColor="text1"/>
                <w:szCs w:val="21"/>
                <w:highlight w:val="none"/>
                <w:lang w:val="en-US" w:eastAsia="zh-CN"/>
                <w14:textFill>
                  <w14:solidFill>
                    <w14:schemeClr w14:val="tx1"/>
                  </w14:solidFill>
                </w14:textFill>
              </w:rPr>
              <w:t>支付方式采用现金支付、银行转账、承兑汇票之一种或多种方式。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本项目以实际结算并且不超过业主审核的工程量为依据，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由乙方填报的工程数量清单，经甲方相关部门审核，项目经理核准签字后方可有效，</w:t>
            </w:r>
            <w:r>
              <w:rPr>
                <w:rFonts w:hint="eastAsia" w:ascii="宋体" w:hAnsi="宋体" w:eastAsia="宋体" w:cs="宋体"/>
                <w:color w:val="000000" w:themeColor="text1"/>
                <w:sz w:val="21"/>
                <w:szCs w:val="21"/>
                <w:highlight w:val="none"/>
                <w14:textFill>
                  <w14:solidFill>
                    <w14:schemeClr w14:val="tx1"/>
                  </w14:solidFill>
                </w14:textFill>
              </w:rPr>
              <w:t>并签字完善，以此作为结算依据</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 xml:space="preserve">12 </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13</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2021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14</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szCs w:val="21"/>
                <w:highlight w:val="none"/>
              </w:rPr>
              <w:t>包含</w:t>
            </w:r>
            <w:r>
              <w:rPr>
                <w:rFonts w:hint="eastAsia" w:asciiTheme="minorEastAsia" w:hAnsiTheme="minorEastAsia" w:eastAsiaTheme="minorEastAsia"/>
                <w:color w:val="auto"/>
                <w:szCs w:val="21"/>
                <w:highlight w:val="none"/>
                <w:lang w:val="en-US" w:eastAsia="zh-CN"/>
              </w:rPr>
              <w:t>普通货运</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w:t>
      </w:r>
      <w:r>
        <w:rPr>
          <w:rFonts w:hint="eastAsia" w:ascii="Times New Roman" w:hAnsi="Times New Roman" w:cs="Times New Roman"/>
          <w:color w:val="auto"/>
          <w:sz w:val="28"/>
          <w:szCs w:val="28"/>
          <w:highlight w:val="none"/>
          <w:lang w:eastAsia="zh-CN"/>
        </w:rPr>
        <w:t>风控（合规）部、法律事务部、分公司（项目部）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255"/>
          <w:numId w:val="0"/>
        </w:numPr>
        <w:adjustRightInd w:val="0"/>
        <w:snapToGrid w:val="0"/>
        <w:spacing w:line="440" w:lineRule="exact"/>
        <w:jc w:val="center"/>
        <w:rPr>
          <w:rFonts w:ascii="宋体" w:hAnsi="宋体" w:cs="宋体"/>
          <w:bCs/>
          <w:sz w:val="28"/>
          <w:szCs w:val="28"/>
          <w:highlight w:val="none"/>
        </w:rPr>
      </w:pPr>
      <w:bookmarkStart w:id="5" w:name="_Hlt42935964"/>
      <w:bookmarkEnd w:id="5"/>
      <w:bookmarkStart w:id="6" w:name="_Hlt42923257"/>
      <w:bookmarkEnd w:id="6"/>
      <w:r>
        <w:rPr>
          <w:rFonts w:ascii="宋体" w:hAnsi="宋体" w:cs="宋体"/>
          <w:bCs/>
          <w:sz w:val="28"/>
          <w:szCs w:val="28"/>
          <w:highlight w:val="none"/>
        </w:rPr>
        <w:br w:type="page"/>
      </w: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p>
    <w:p>
      <w:pPr>
        <w:pStyle w:val="2"/>
        <w:rPr>
          <w:rFonts w:ascii="宋体" w:hAnsi="宋体" w:cs="宋体"/>
          <w:bCs/>
          <w:sz w:val="28"/>
          <w:szCs w:val="28"/>
          <w:highlight w:val="none"/>
        </w:rPr>
      </w:pPr>
    </w:p>
    <w:p>
      <w:pPr>
        <w:tabs>
          <w:tab w:val="left" w:pos="670"/>
          <w:tab w:val="center" w:pos="4252"/>
        </w:tabs>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rPr>
          <w:rFonts w:ascii="仿宋_GB2312" w:hAnsi="宋体" w:eastAsia="仿宋_GB2312"/>
          <w:sz w:val="36"/>
          <w:szCs w:val="36"/>
        </w:rPr>
      </w:pPr>
      <w:r>
        <w:rPr>
          <w:rFonts w:hint="eastAsia" w:ascii="仿宋_GB2312" w:hAnsi="宋体" w:eastAsia="仿宋_GB2312"/>
          <w:bCs/>
          <w:sz w:val="36"/>
          <w:szCs w:val="36"/>
        </w:rPr>
        <w:t>________项目</w:t>
      </w:r>
    </w:p>
    <w:p>
      <w:pPr>
        <w:tabs>
          <w:tab w:val="left" w:pos="670"/>
          <w:tab w:val="center" w:pos="4252"/>
        </w:tabs>
        <w:rPr>
          <w:rFonts w:hint="eastAsia" w:ascii="仿宋_GB2312" w:hAnsi="宋体" w:eastAsia="仿宋_GB2312"/>
          <w:sz w:val="36"/>
          <w:szCs w:val="36"/>
        </w:rPr>
      </w:pPr>
      <w:r>
        <w:rPr>
          <w:rFonts w:hint="eastAsia" w:ascii="仿宋_GB2312" w:hAnsi="宋体" w:eastAsia="仿宋_GB2312"/>
          <w:sz w:val="36"/>
          <w:szCs w:val="36"/>
        </w:rPr>
        <w:t>_____</w:t>
      </w:r>
    </w:p>
    <w:p>
      <w:pPr>
        <w:tabs>
          <w:tab w:val="left" w:pos="670"/>
          <w:tab w:val="center" w:pos="4252"/>
        </w:tabs>
        <w:jc w:val="center"/>
        <w:rPr>
          <w:rFonts w:ascii="黑体" w:eastAsia="黑体"/>
          <w:sz w:val="110"/>
          <w:szCs w:val="110"/>
        </w:rPr>
      </w:pPr>
      <w:r>
        <w:rPr>
          <w:rFonts w:hint="eastAsia" w:ascii="黑体" w:hAnsi="宋体" w:eastAsia="黑体"/>
          <w:sz w:val="110"/>
          <w:szCs w:val="110"/>
          <w:lang w:eastAsia="zh-CN"/>
        </w:rPr>
        <w:t>运输</w:t>
      </w:r>
      <w:r>
        <w:rPr>
          <w:rFonts w:hint="eastAsia" w:ascii="黑体" w:eastAsia="黑体"/>
          <w:sz w:val="110"/>
          <w:szCs w:val="110"/>
        </w:rPr>
        <w:t>合同</w:t>
      </w: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r>
        <w:rPr>
          <w:rFonts w:hint="eastAsia" w:ascii="Times New Roman" w:hAnsi="Times New Roman" w:eastAsia="仿宋_GB2312"/>
          <w:sz w:val="32"/>
          <w:szCs w:val="32"/>
        </w:rPr>
        <w:t>乙方：</w:t>
      </w:r>
      <w:r>
        <w:rPr>
          <w:rFonts w:hint="eastAsia" w:ascii="Times New Roman" w:hAnsi="Times New Roman" w:eastAsia="仿宋_GB2312"/>
          <w:w w:val="85"/>
          <w:sz w:val="28"/>
          <w:szCs w:val="28"/>
          <w:u w:val="single"/>
        </w:rPr>
        <w:t>重庆对外建设(集团)有限公司</w:t>
      </w:r>
      <w:r>
        <w:rPr>
          <w:rFonts w:hint="eastAsia" w:ascii="Times New Roman" w:hAnsi="Times New Roman" w:eastAsia="仿宋_GB2312"/>
          <w:sz w:val="28"/>
          <w:szCs w:val="28"/>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________</w:t>
      </w:r>
      <w:r>
        <w:rPr>
          <w:rFonts w:hint="eastAsia" w:eastAsia="黑体" w:cs="Times New Roman"/>
          <w:color w:val="622423"/>
          <w:sz w:val="36"/>
          <w:szCs w:val="28"/>
          <w:u w:val="single"/>
          <w:lang w:eastAsia="zh-CN"/>
        </w:rPr>
        <w:t>（填：项目名称）</w:t>
      </w:r>
      <w:r>
        <w:rPr>
          <w:rFonts w:hint="eastAsia" w:ascii="黑体" w:hAnsi="宋体" w:eastAsia="黑体"/>
          <w:sz w:val="36"/>
          <w:szCs w:val="36"/>
        </w:rPr>
        <w:t>工程项目</w:t>
      </w:r>
      <w:r>
        <w:rPr>
          <w:rFonts w:hint="eastAsia" w:ascii="黑体" w:hAnsi="宋体" w:eastAsia="黑体"/>
          <w:sz w:val="36"/>
          <w:szCs w:val="36"/>
          <w:lang w:eastAsia="zh-CN"/>
        </w:rPr>
        <w:t>运输</w:t>
      </w:r>
      <w:r>
        <w:rPr>
          <w:rFonts w:hint="eastAsia" w:ascii="黑体" w:hAnsi="宋体" w:eastAsia="黑体"/>
          <w:sz w:val="36"/>
          <w:szCs w:val="36"/>
        </w:rPr>
        <w:t>合同</w:t>
      </w:r>
    </w:p>
    <w:p>
      <w:pPr>
        <w:widowControl/>
        <w:spacing w:before="90" w:after="90" w:line="345" w:lineRule="atLeast"/>
        <w:jc w:val="left"/>
        <w:rPr>
          <w:rFonts w:ascii="Arial Narrow" w:hAnsi="Arial Narrow" w:cs="宋体"/>
          <w:kern w:val="0"/>
          <w:szCs w:val="21"/>
        </w:rPr>
      </w:pPr>
    </w:p>
    <w:p>
      <w:pPr>
        <w:spacing w:line="440" w:lineRule="exact"/>
        <w:rPr>
          <w:rFonts w:ascii="Times New Roman" w:hAnsi="Times New Roman" w:eastAsia="仿宋_GB2312"/>
          <w:b/>
          <w:sz w:val="28"/>
          <w:szCs w:val="28"/>
        </w:rPr>
      </w:pPr>
      <w:r>
        <w:rPr>
          <w:rFonts w:hint="eastAsia" w:ascii="Times New Roman" w:hAnsi="Times New Roman" w:eastAsia="仿宋_GB2312"/>
          <w:b/>
          <w:sz w:val="28"/>
          <w:szCs w:val="28"/>
        </w:rPr>
        <w:t>甲方：</w:t>
      </w:r>
      <w:r>
        <w:rPr>
          <w:rFonts w:hint="eastAsia" w:ascii="Times New Roman" w:hAnsi="Times New Roman" w:eastAsia="仿宋_GB2312"/>
          <w:b/>
          <w:sz w:val="28"/>
          <w:szCs w:val="28"/>
          <w:u w:val="single"/>
        </w:rPr>
        <w:t xml:space="preserve">                             </w:t>
      </w:r>
      <w:r>
        <w:rPr>
          <w:rFonts w:ascii="Times New Roman" w:hAnsi="Times New Roman" w:eastAsia="仿宋_GB2312"/>
          <w:b/>
          <w:sz w:val="28"/>
          <w:szCs w:val="28"/>
          <w:u w:val="single"/>
        </w:rPr>
        <w:t xml:space="preserve">    </w:t>
      </w:r>
      <w:r>
        <w:rPr>
          <w:rFonts w:hint="eastAsia" w:ascii="Times New Roman" w:hAnsi="Times New Roman" w:eastAsia="仿宋_GB2312"/>
          <w:b/>
          <w:sz w:val="28"/>
          <w:szCs w:val="28"/>
          <w:u w:val="single"/>
        </w:rPr>
        <w:t xml:space="preserve">  </w:t>
      </w:r>
      <w:r>
        <w:rPr>
          <w:rFonts w:hint="eastAsia" w:ascii="Times New Roman" w:hAnsi="Times New Roman" w:eastAsia="仿宋_GB2312"/>
          <w:b/>
          <w:sz w:val="28"/>
          <w:szCs w:val="28"/>
        </w:rPr>
        <w:t>（出租方）</w:t>
      </w:r>
    </w:p>
    <w:p>
      <w:pPr>
        <w:spacing w:line="440" w:lineRule="exact"/>
        <w:rPr>
          <w:rFonts w:ascii="Times New Roman" w:hAnsi="Times New Roman" w:eastAsia="仿宋_GB2312"/>
          <w:b/>
          <w:sz w:val="28"/>
          <w:szCs w:val="28"/>
        </w:rPr>
      </w:pPr>
      <w:r>
        <w:rPr>
          <w:rFonts w:hint="eastAsia" w:ascii="Times New Roman" w:hAnsi="Times New Roman" w:eastAsia="仿宋_GB2312"/>
          <w:b/>
          <w:sz w:val="28"/>
          <w:szCs w:val="28"/>
        </w:rPr>
        <w:t>乙方：</w:t>
      </w:r>
      <w:r>
        <w:rPr>
          <w:rFonts w:hint="eastAsia" w:ascii="Times New Roman" w:hAnsi="Times New Roman" w:eastAsia="仿宋_GB2312"/>
          <w:b/>
          <w:sz w:val="28"/>
          <w:szCs w:val="28"/>
          <w:u w:val="single"/>
        </w:rPr>
        <w:t xml:space="preserve"> 重庆对外建设（集团）有限公司  </w:t>
      </w:r>
      <w:r>
        <w:rPr>
          <w:rFonts w:hint="eastAsia" w:ascii="Times New Roman" w:hAnsi="Times New Roman" w:eastAsia="仿宋_GB2312"/>
          <w:b/>
          <w:sz w:val="28"/>
          <w:szCs w:val="28"/>
        </w:rPr>
        <w:t>（承租方）</w:t>
      </w:r>
    </w:p>
    <w:p>
      <w:pPr>
        <w:widowControl/>
        <w:spacing w:line="440" w:lineRule="exact"/>
        <w:jc w:val="left"/>
        <w:rPr>
          <w:rFonts w:ascii="Times New Roman" w:hAnsi="Times New Roman" w:eastAsia="仿宋_GB2312"/>
          <w:sz w:val="28"/>
          <w:szCs w:val="28"/>
        </w:rPr>
      </w:pPr>
    </w:p>
    <w:p>
      <w:pPr>
        <w:spacing w:line="440" w:lineRule="exact"/>
        <w:ind w:firstLine="630" w:firstLineChars="225"/>
        <w:rPr>
          <w:rFonts w:ascii="Times New Roman" w:hAnsi="Times New Roman" w:eastAsia="仿宋_GB2312"/>
          <w:sz w:val="28"/>
          <w:szCs w:val="28"/>
        </w:rPr>
      </w:pPr>
      <w:r>
        <w:rPr>
          <w:rFonts w:hint="eastAsia" w:ascii="Times New Roman" w:hAnsi="Times New Roman" w:eastAsia="仿宋_GB2312"/>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sz w:val="28"/>
          <w:szCs w:val="28"/>
        </w:rPr>
      </w:pPr>
      <w:r>
        <w:rPr>
          <w:rFonts w:hint="eastAsia" w:ascii="Times New Roman" w:hAnsi="Times New Roman" w:eastAsia="仿宋_GB2312"/>
          <w:sz w:val="28"/>
          <w:szCs w:val="28"/>
          <w:lang w:eastAsia="zh-CN"/>
        </w:rPr>
        <w:t>运输清单与合同金额</w:t>
      </w:r>
    </w:p>
    <w:p>
      <w:pPr>
        <w:spacing w:line="440" w:lineRule="exact"/>
        <w:ind w:firstLine="630" w:firstLineChars="225"/>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1.1.</w:t>
      </w:r>
      <w:r>
        <w:rPr>
          <w:rFonts w:hint="eastAsia" w:ascii="Times New Roman" w:hAnsi="Times New Roman" w:eastAsia="仿宋_GB2312"/>
          <w:b/>
          <w:color w:val="0000FF"/>
          <w:sz w:val="28"/>
          <w:szCs w:val="28"/>
          <w:lang w:eastAsia="zh-CN"/>
        </w:rPr>
        <w:t>合同附件</w:t>
      </w:r>
      <w:r>
        <w:rPr>
          <w:rFonts w:hint="eastAsia" w:ascii="Times New Roman" w:hAnsi="Times New Roman" w:eastAsia="仿宋_GB2312"/>
          <w:b/>
          <w:color w:val="0000FF"/>
          <w:sz w:val="28"/>
          <w:szCs w:val="28"/>
          <w:lang w:val="en-US" w:eastAsia="zh-CN"/>
        </w:rPr>
        <w:t>1.合同清单</w:t>
      </w:r>
      <w:r>
        <w:rPr>
          <w:rFonts w:hint="eastAsia" w:ascii="Times New Roman" w:hAnsi="Times New Roman" w:eastAsia="仿宋_GB2312"/>
          <w:sz w:val="28"/>
          <w:szCs w:val="28"/>
          <w:lang w:val="en-US" w:eastAsia="zh-CN"/>
        </w:rPr>
        <w:t>所列</w:t>
      </w:r>
      <w:r>
        <w:rPr>
          <w:rFonts w:hint="eastAsia" w:ascii="Times New Roman" w:hAnsi="Times New Roman" w:eastAsia="仿宋_GB2312"/>
          <w:sz w:val="28"/>
          <w:szCs w:val="28"/>
          <w:lang w:eastAsia="zh-CN"/>
        </w:rPr>
        <w:t>运输</w:t>
      </w:r>
      <w:r>
        <w:rPr>
          <w:rFonts w:hint="eastAsia" w:ascii="Times New Roman" w:hAnsi="Times New Roman" w:eastAsia="仿宋_GB2312"/>
          <w:sz w:val="28"/>
          <w:szCs w:val="28"/>
        </w:rPr>
        <w:t>数量为暂定，具体需求的</w:t>
      </w:r>
      <w:r>
        <w:rPr>
          <w:rFonts w:hint="eastAsia" w:ascii="Times New Roman" w:hAnsi="Times New Roman" w:eastAsia="仿宋_GB2312"/>
          <w:sz w:val="28"/>
          <w:szCs w:val="28"/>
          <w:lang w:eastAsia="zh-CN"/>
        </w:rPr>
        <w:t>运输设备</w:t>
      </w:r>
      <w:r>
        <w:rPr>
          <w:rFonts w:hint="eastAsia" w:ascii="Times New Roman" w:hAnsi="Times New Roman" w:eastAsia="仿宋_GB2312"/>
          <w:sz w:val="28"/>
          <w:szCs w:val="28"/>
        </w:rPr>
        <w:t>数量由乙方随工程进度及时提交甲方，实际</w:t>
      </w:r>
      <w:r>
        <w:rPr>
          <w:rFonts w:hint="eastAsia" w:ascii="Times New Roman" w:hAnsi="Times New Roman" w:eastAsia="仿宋_GB2312"/>
          <w:sz w:val="28"/>
          <w:szCs w:val="28"/>
          <w:lang w:eastAsia="zh-CN"/>
        </w:rPr>
        <w:t>运输</w:t>
      </w:r>
      <w:r>
        <w:rPr>
          <w:rFonts w:hint="eastAsia" w:ascii="Times New Roman" w:hAnsi="Times New Roman" w:eastAsia="仿宋_GB2312"/>
          <w:sz w:val="28"/>
          <w:szCs w:val="28"/>
        </w:rPr>
        <w:t>以乙方需求为准，双方按实际</w:t>
      </w:r>
      <w:r>
        <w:rPr>
          <w:rFonts w:hint="eastAsia" w:ascii="Times New Roman" w:hAnsi="Times New Roman" w:eastAsia="仿宋_GB2312"/>
          <w:sz w:val="28"/>
          <w:szCs w:val="28"/>
          <w:lang w:eastAsia="zh-CN"/>
        </w:rPr>
        <w:t>运输</w:t>
      </w:r>
      <w:r>
        <w:rPr>
          <w:rFonts w:hint="eastAsia" w:ascii="Times New Roman" w:hAnsi="Times New Roman" w:eastAsia="仿宋_GB2312"/>
          <w:sz w:val="28"/>
          <w:szCs w:val="28"/>
        </w:rPr>
        <w:t>数量进行结算。</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 w:cs="Times New Roman"/>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1.2.</w:t>
      </w:r>
      <w:r>
        <w:rPr>
          <w:rFonts w:hint="eastAsia" w:ascii="Times New Roman" w:hAnsi="Times New Roman" w:eastAsia="仿宋_GB2312" w:cs="Times New Roman"/>
          <w:sz w:val="28"/>
          <w:szCs w:val="28"/>
        </w:rPr>
        <w:t>使用地点：</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pPr>
        <w:adjustRightInd w:val="0"/>
        <w:snapToGrid w:val="0"/>
        <w:spacing w:line="440" w:lineRule="exact"/>
        <w:ind w:firstLine="630" w:firstLineChars="225"/>
        <w:jc w:val="left"/>
        <w:rPr>
          <w:rFonts w:ascii="Times New Roman" w:hAnsi="Times New Roman" w:eastAsia="仿宋_GB2312" w:cs="Times New Roman"/>
          <w:kern w:val="0"/>
          <w:sz w:val="28"/>
          <w:szCs w:val="28"/>
          <w:u w:val="single"/>
        </w:rPr>
      </w:pPr>
      <w:r>
        <w:rPr>
          <w:rFonts w:hint="eastAsia" w:ascii="Times New Roman" w:hAnsi="Times New Roman" w:eastAsia="仿宋_GB2312" w:cs="Times New Roman"/>
          <w:kern w:val="0"/>
          <w:sz w:val="28"/>
          <w:szCs w:val="28"/>
          <w:lang w:val="en-US" w:eastAsia="zh-CN"/>
        </w:rPr>
        <w:t>1.3.</w:t>
      </w:r>
      <w:r>
        <w:rPr>
          <w:rFonts w:hint="eastAsia" w:ascii="Times New Roman" w:hAnsi="Times New Roman" w:eastAsia="仿宋_GB2312" w:cs="Times New Roman"/>
          <w:kern w:val="0"/>
          <w:sz w:val="28"/>
          <w:szCs w:val="28"/>
        </w:rPr>
        <w:t>其他：</w:t>
      </w:r>
      <w:r>
        <w:rPr>
          <w:rFonts w:hint="eastAsia" w:ascii="Times New Roman" w:hAnsi="Times New Roman" w:eastAsia="仿宋_GB2312" w:cs="Times New Roman"/>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甲方为</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机械配备操作手____名，人员安全由甲方自行负责。</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期限</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甲方提前一天通知乙方，乙方必须满足现场运输使用要求。</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机械的所有权</w:t>
      </w:r>
    </w:p>
    <w:p>
      <w:pPr>
        <w:spacing w:line="440" w:lineRule="exact"/>
        <w:ind w:firstLine="630" w:firstLineChars="225"/>
        <w:rPr>
          <w:rFonts w:ascii="Times New Roman" w:hAnsi="Times New Roman" w:eastAsia="仿宋_GB2312" w:cs="Times New Roman"/>
          <w:sz w:val="28"/>
          <w:szCs w:val="28"/>
        </w:rPr>
      </w:pPr>
      <w:r>
        <w:rPr>
          <w:rFonts w:ascii="Times New Roman" w:hAnsi="Times New Roman" w:eastAsia="仿宋_GB2312" w:cs="Times New Roman"/>
          <w:sz w:val="28"/>
          <w:szCs w:val="28"/>
        </w:rPr>
        <w:t>4.1</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期间，本合同第一条所列</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机械的所有权属于甲方。乙方对</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机械只有使用权，没有所有权。</w:t>
      </w:r>
    </w:p>
    <w:p>
      <w:pPr>
        <w:spacing w:line="440" w:lineRule="exact"/>
        <w:ind w:firstLine="630" w:firstLineChars="225"/>
        <w:rPr>
          <w:rFonts w:ascii="Times New Roman" w:hAnsi="Times New Roman" w:eastAsia="仿宋_GB2312" w:cs="Times New Roman"/>
          <w:sz w:val="28"/>
          <w:szCs w:val="28"/>
        </w:rPr>
      </w:pPr>
      <w:r>
        <w:rPr>
          <w:rFonts w:ascii="Times New Roman" w:hAnsi="Times New Roman" w:eastAsia="仿宋_GB2312" w:cs="Times New Roman"/>
          <w:sz w:val="28"/>
          <w:szCs w:val="28"/>
        </w:rPr>
        <w:t>4.2</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期间，乙方如将</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机械转租给第三人，必须征得甲方书面同意。</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运输款</w:t>
      </w:r>
      <w:r>
        <w:rPr>
          <w:rFonts w:hint="eastAsia" w:ascii="Times New Roman" w:hAnsi="Times New Roman" w:eastAsia="仿宋_GB2312" w:cs="Times New Roman"/>
          <w:sz w:val="28"/>
          <w:szCs w:val="28"/>
        </w:rPr>
        <w:t>的计算和支付</w:t>
      </w:r>
    </w:p>
    <w:p>
      <w:pPr>
        <w:spacing w:line="440" w:lineRule="exact"/>
        <w:ind w:firstLine="630" w:firstLineChars="225"/>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eastAsia="zh-CN"/>
        </w:rPr>
        <w:t>运输费按</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lang w:val="en-US" w:eastAsia="zh-CN"/>
        </w:rPr>
        <w:t>结算。</w:t>
      </w:r>
      <w:r>
        <w:rPr>
          <w:rFonts w:hint="eastAsia" w:ascii="Times New Roman" w:hAnsi="Times New Roman" w:eastAsia="仿宋_GB2312" w:cs="Times New Roman"/>
          <w:sz w:val="28"/>
          <w:szCs w:val="28"/>
        </w:rPr>
        <w:t>甲乙双方必须对当天的运输票据进行核对，并签字完善，以此作为结算依据。</w:t>
      </w:r>
    </w:p>
    <w:p>
      <w:pPr>
        <w:spacing w:line="440" w:lineRule="exact"/>
        <w:ind w:firstLine="630" w:firstLineChars="225"/>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5.2</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款的结算：______________________________________。</w:t>
      </w:r>
    </w:p>
    <w:p>
      <w:pPr>
        <w:adjustRightInd w:val="0"/>
        <w:snapToGrid w:val="0"/>
        <w:spacing w:line="440" w:lineRule="exact"/>
        <w:ind w:firstLine="630" w:firstLineChars="225"/>
        <w:jc w:val="left"/>
        <w:rPr>
          <w:rFonts w:hint="eastAsia"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lang w:val="en-US" w:eastAsia="zh-CN"/>
        </w:rPr>
        <w:t>3</w:t>
      </w:r>
      <w:r>
        <w:rPr>
          <w:rFonts w:hint="eastAsia" w:ascii="Times New Roman" w:hAnsi="Times New Roman" w:eastAsia="仿宋_GB2312" w:cs="Times New Roman"/>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单位地址：重庆市南岸区南滨路132号</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电话号码：</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lang w:val="en-US" w:eastAsia="zh-CN"/>
        </w:rPr>
        <w:t>4</w:t>
      </w:r>
      <w:r>
        <w:rPr>
          <w:rFonts w:hint="eastAsia" w:ascii="Times New Roman" w:hAnsi="Times New Roman" w:eastAsia="仿宋_GB2312" w:cs="Times New Roman"/>
          <w:kern w:val="0"/>
          <w:sz w:val="28"/>
          <w:szCs w:val="28"/>
        </w:rPr>
        <w:t>支付方式：</w:t>
      </w:r>
      <w:r>
        <w:rPr>
          <w:rFonts w:hint="eastAsia" w:ascii="Times New Roman" w:hAnsi="Times New Roman" w:eastAsia="仿宋_GB2312" w:cs="Times New Roman"/>
          <w:kern w:val="0"/>
          <w:sz w:val="28"/>
          <w:szCs w:val="28"/>
          <w:u w:val="single"/>
          <w:lang w:val="en-US" w:eastAsia="zh-CN"/>
        </w:rPr>
        <w:t xml:space="preserve">   </w:t>
      </w:r>
      <w:r>
        <w:rPr>
          <w:rFonts w:hint="eastAsia" w:ascii="Times New Roman" w:hAnsi="Times New Roman" w:eastAsia="仿宋_GB2312" w:cs="Times New Roman"/>
          <w:sz w:val="28"/>
          <w:szCs w:val="28"/>
        </w:rPr>
        <w:t>______</w:t>
      </w:r>
      <w:r>
        <w:rPr>
          <w:rFonts w:hint="eastAsia" w:ascii="Times New Roman" w:hAnsi="Times New Roman" w:eastAsia="仿宋_GB2312" w:cs="Times New Roman"/>
          <w:kern w:val="0"/>
          <w:sz w:val="28"/>
          <w:szCs w:val="28"/>
        </w:rPr>
        <w:t>。</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机械的交货和验收</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6.1</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机械在交货地点_</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__，由甲方向乙方（或其代理人）交货。因不能预见、不能避免并不能克服的客观情况造成</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机械延迟交货时，甲方不承担责任。</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6.2</w:t>
      </w:r>
      <w:r>
        <w:rPr>
          <w:rFonts w:hint="eastAsia" w:ascii="Times New Roman" w:hAnsi="Times New Roman" w:eastAsia="仿宋_GB2312" w:cs="Times New Roman"/>
          <w:sz w:val="28"/>
          <w:szCs w:val="28"/>
        </w:rPr>
        <w:t>乙方应自接收</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机械时起24小时在交货地点检查验收</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机械，同时将签收盖章后的</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机械的验收收据交给甲方以完成双方之间的交接手续。</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6.3</w:t>
      </w:r>
      <w:r>
        <w:rPr>
          <w:rFonts w:hint="eastAsia" w:ascii="Times New Roman" w:hAnsi="Times New Roman" w:eastAsia="仿宋_GB2312" w:cs="Times New Roman"/>
          <w:sz w:val="28"/>
          <w:szCs w:val="28"/>
        </w:rPr>
        <w:t>如果乙方未按前款规定的时间办理验收，甲方则视为</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机械已在完整状态下由乙方验收完毕，并视同乙方已经将</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机械的验收收据交付给甲方。</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6.4</w:t>
      </w:r>
      <w:r>
        <w:rPr>
          <w:rFonts w:hint="eastAsia" w:ascii="Times New Roman" w:hAnsi="Times New Roman" w:eastAsia="仿宋_GB2312" w:cs="Times New Roman"/>
          <w:sz w:val="28"/>
          <w:szCs w:val="28"/>
        </w:rPr>
        <w:t>如果乙方在验收时发现</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机械的型号、规格、数量和技术性能等有不符、不良或瑕疵等属于甲方的责任时，乙方应在交货当天，最迟不超过交货日期三天内，立即将上述情况书面通知甲方，由甲方负责处理，否则，视为</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机械符合本合同</w:t>
      </w:r>
      <w:r>
        <w:rPr>
          <w:rFonts w:hint="eastAsia" w:ascii="Times New Roman" w:hAnsi="Times New Roman" w:eastAsia="仿宋_GB2312" w:cs="Times New Roman"/>
          <w:sz w:val="28"/>
          <w:szCs w:val="28"/>
          <w:lang w:eastAsia="zh-CN"/>
        </w:rPr>
        <w:t>的</w:t>
      </w:r>
      <w:r>
        <w:rPr>
          <w:rFonts w:hint="eastAsia" w:ascii="Times New Roman" w:hAnsi="Times New Roman" w:eastAsia="仿宋_GB2312" w:cs="Times New Roman"/>
          <w:sz w:val="28"/>
          <w:szCs w:val="28"/>
        </w:rPr>
        <w:t>约定要求。</w:t>
      </w:r>
    </w:p>
    <w:p>
      <w:pPr>
        <w:spacing w:line="440" w:lineRule="exact"/>
        <w:ind w:firstLine="630" w:firstLineChars="225"/>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6.5</w:t>
      </w:r>
      <w:r>
        <w:rPr>
          <w:rFonts w:hint="eastAsia" w:ascii="Times New Roman" w:hAnsi="Times New Roman" w:eastAsia="仿宋_GB2312" w:cs="Times New Roman"/>
          <w:sz w:val="28"/>
          <w:szCs w:val="28"/>
        </w:rPr>
        <w:t>甲方提供的所有设备均由甲方自行保管、操作，乙方不承担相关设备的任何保管责任。</w:t>
      </w:r>
    </w:p>
    <w:p>
      <w:pPr>
        <w:spacing w:line="440" w:lineRule="exact"/>
        <w:ind w:firstLine="630" w:firstLineChars="225"/>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6.6</w:t>
      </w:r>
      <w:r>
        <w:rPr>
          <w:rFonts w:hint="eastAsia" w:ascii="Times New Roman" w:hAnsi="Times New Roman" w:eastAsia="仿宋_GB2312" w:cs="Times New Roman"/>
          <w:sz w:val="28"/>
          <w:szCs w:val="28"/>
        </w:rPr>
        <w:t>甲方提供</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设备</w:t>
      </w:r>
      <w:r>
        <w:rPr>
          <w:rFonts w:hint="eastAsia" w:ascii="Times New Roman" w:hAnsi="Times New Roman" w:eastAsia="仿宋_GB2312" w:cs="Times New Roman"/>
          <w:sz w:val="28"/>
          <w:szCs w:val="28"/>
          <w:lang w:eastAsia="zh-CN"/>
        </w:rPr>
        <w:t>的资料：</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rPr>
        <w:t>。</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机械的安全使用、维修、保养和费用</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期内由乙方使用，甲方应负责</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机械的维修、保养，使设备保持良好状态，并承担由此产生的全部费用。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期内日常燃油由</w:t>
      </w:r>
      <w:r>
        <w:rPr>
          <w:rFonts w:hint="eastAsia" w:ascii="Times New Roman" w:hAnsi="Times New Roman" w:eastAsia="仿宋_GB2312" w:cs="Times New Roman"/>
          <w:sz w:val="28"/>
          <w:szCs w:val="28"/>
          <w:u w:val="single"/>
        </w:rPr>
        <w:t>____</w:t>
      </w:r>
      <w:r>
        <w:rPr>
          <w:rFonts w:hint="eastAsia" w:ascii="Times New Roman" w:hAnsi="Times New Roman" w:eastAsia="仿宋_GB2312" w:cs="Times New Roman"/>
          <w:sz w:val="28"/>
          <w:szCs w:val="28"/>
        </w:rPr>
        <w:t>方负责。</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期内，甲方负责对设备故障进行排除，维修时间超过一天（含一天）的在结算</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期中扣出，甲方维修时间一般不能超过</w:t>
      </w:r>
      <w:r>
        <w:rPr>
          <w:rFonts w:hint="eastAsia" w:ascii="Times New Roman" w:hAnsi="Times New Roman" w:eastAsia="仿宋_GB2312" w:cs="Times New Roman"/>
          <w:sz w:val="28"/>
          <w:szCs w:val="28"/>
          <w:u w:val="single"/>
        </w:rPr>
        <w:t xml:space="preserve"> 2 </w:t>
      </w:r>
      <w:r>
        <w:rPr>
          <w:rFonts w:hint="eastAsia" w:ascii="Times New Roman" w:hAnsi="Times New Roman" w:eastAsia="仿宋_GB2312" w:cs="Times New Roman"/>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FF"/>
          <w:sz w:val="28"/>
          <w:szCs w:val="28"/>
          <w:highlight w:val="yellow"/>
          <w:u w:val="single"/>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乙方不得安排甲方机械违反安全规章作业，如果乙方安排违章作业，甲方有权停止工作，并可单方面解除合同。</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租赁机械运费的承担</w:t>
      </w:r>
    </w:p>
    <w:p>
      <w:pPr>
        <w:numPr>
          <w:ilvl w:val="0"/>
          <w:numId w:val="0"/>
        </w:num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租赁机械的运费（包括进退场的费用）由甲方承担。</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违约责任</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sz w:val="28"/>
          <w:szCs w:val="28"/>
          <w:u w:val="single"/>
        </w:rPr>
        <w:t>_____%</w:t>
      </w:r>
      <w:r>
        <w:rPr>
          <w:rFonts w:hint="eastAsia" w:ascii="Times New Roman" w:hAnsi="Times New Roman" w:eastAsia="仿宋_GB2312" w:cs="Times New Roman"/>
          <w:sz w:val="28"/>
          <w:szCs w:val="28"/>
        </w:rPr>
        <w:t>的违约金。</w:t>
      </w:r>
    </w:p>
    <w:p>
      <w:pPr>
        <w:spacing w:line="440" w:lineRule="exact"/>
        <w:ind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期间，乙方如对</w:t>
      </w:r>
      <w:r>
        <w:rPr>
          <w:rFonts w:hint="eastAsia" w:ascii="Times New Roman" w:hAnsi="Times New Roman" w:eastAsia="仿宋_GB2312" w:cs="Times New Roman"/>
          <w:sz w:val="28"/>
          <w:szCs w:val="28"/>
          <w:lang w:eastAsia="zh-CN"/>
        </w:rPr>
        <w:t>运输</w:t>
      </w:r>
      <w:r>
        <w:rPr>
          <w:rFonts w:hint="eastAsia" w:ascii="Times New Roman" w:hAnsi="Times New Roman" w:eastAsia="仿宋_GB2312" w:cs="Times New Roman"/>
          <w:sz w:val="28"/>
          <w:szCs w:val="28"/>
        </w:rPr>
        <w:t>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9</w:t>
      </w:r>
      <w:r>
        <w:rPr>
          <w:rFonts w:ascii="Times New Roman" w:hAnsi="Times New Roman" w:eastAsia="仿宋_GB2312" w:cs="Times New Roman"/>
          <w:kern w:val="0"/>
          <w:sz w:val="28"/>
          <w:szCs w:val="28"/>
        </w:rPr>
        <w:t>.3</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提供给</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的增值税专用发票必须符合</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验票、抵扣的要求，</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必须在发票开具之日起120天之内将发票送达</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，若因</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未及时提供增值税专用发票送达</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导致</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无法抵扣，</w:t>
      </w:r>
      <w:r>
        <w:rPr>
          <w:rFonts w:hint="eastAsia" w:ascii="Times New Roman" w:hAnsi="Times New Roman" w:eastAsia="仿宋_GB2312" w:cs="Times New Roman"/>
          <w:kern w:val="0"/>
          <w:sz w:val="28"/>
          <w:szCs w:val="28"/>
        </w:rPr>
        <w:t>乙方</w:t>
      </w:r>
      <w:r>
        <w:rPr>
          <w:rFonts w:hint="eastAsia" w:ascii="Times New Roman" w:hAnsi="Times New Roman" w:eastAsia="仿宋_GB2312" w:cs="Times New Roman"/>
          <w:sz w:val="28"/>
          <w:szCs w:val="28"/>
        </w:rPr>
        <w:t>所有经济损失及责任全部由</w:t>
      </w:r>
      <w:r>
        <w:rPr>
          <w:rFonts w:hint="eastAsia" w:ascii="Times New Roman" w:hAnsi="Times New Roman" w:eastAsia="仿宋_GB2312" w:cs="Times New Roman"/>
          <w:kern w:val="0"/>
          <w:sz w:val="28"/>
          <w:szCs w:val="28"/>
        </w:rPr>
        <w:t>甲方</w:t>
      </w:r>
      <w:r>
        <w:rPr>
          <w:rFonts w:hint="eastAsia" w:ascii="Times New Roman" w:hAnsi="Times New Roman" w:eastAsia="仿宋_GB2312" w:cs="Times New Roman"/>
          <w:sz w:val="28"/>
          <w:szCs w:val="28"/>
        </w:rPr>
        <w:t>承担。</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其他</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关于商业（法律）文书的送达</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 甲方（供应方）确认其有效的送达地址为_________________，联系人</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，联系电话</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 乙方（使用方）确认其有效的送达地址为_________________，联系人</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，联系电话</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11.4.4违反上述规定，甲方有权立即解除合同并追偿损失。</w:t>
      </w:r>
    </w:p>
    <w:p>
      <w:pPr>
        <w:widowControl/>
        <w:tabs>
          <w:tab w:val="left" w:pos="0"/>
        </w:tabs>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val="en-US" w:eastAsia="zh-CN"/>
        </w:rPr>
        <w:t>11</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lang w:val="en-US" w:eastAsia="zh-CN"/>
        </w:rPr>
        <w:t>5</w:t>
      </w:r>
      <w:r>
        <w:rPr>
          <w:rFonts w:hint="eastAsia" w:ascii="Times New Roman" w:hAnsi="Times New Roman" w:eastAsia="仿宋_GB2312" w:cs="Times New Roman"/>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份，甲执</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份，乙方执</w:t>
      </w:r>
      <w:r>
        <w:rPr>
          <w:rFonts w:hint="eastAsia" w:ascii="Times New Roman" w:hAnsi="Times New Roman" w:eastAsia="仿宋_GB2312" w:cs="Times New Roman"/>
          <w:kern w:val="0"/>
          <w:sz w:val="28"/>
          <w:szCs w:val="28"/>
          <w:u w:val="single"/>
        </w:rPr>
        <w:t xml:space="preserve">  </w:t>
      </w:r>
      <w:r>
        <w:rPr>
          <w:rFonts w:hint="eastAsia" w:ascii="Times New Roman" w:hAnsi="Times New Roman" w:eastAsia="仿宋_GB2312" w:cs="Times New Roman"/>
          <w:kern w:val="0"/>
          <w:sz w:val="28"/>
          <w:szCs w:val="28"/>
        </w:rPr>
        <w:t>份。</w:t>
      </w:r>
    </w:p>
    <w:p>
      <w:pPr>
        <w:widowControl/>
        <w:tabs>
          <w:tab w:val="left" w:pos="0"/>
        </w:tabs>
        <w:spacing w:line="440" w:lineRule="exact"/>
        <w:ind w:firstLine="560" w:firstLineChars="200"/>
        <w:jc w:val="left"/>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附件：</w:t>
      </w:r>
      <w:r>
        <w:rPr>
          <w:rFonts w:hint="eastAsia" w:ascii="Times New Roman" w:hAnsi="Times New Roman" w:eastAsia="仿宋_GB2312" w:cs="Times New Roman"/>
          <w:kern w:val="0"/>
          <w:sz w:val="28"/>
          <w:szCs w:val="28"/>
          <w:lang w:val="en-US" w:eastAsia="zh-CN"/>
        </w:rPr>
        <w:t>1.</w:t>
      </w:r>
      <w:r>
        <w:rPr>
          <w:rFonts w:hint="eastAsia" w:ascii="Times New Roman" w:hAnsi="Times New Roman" w:eastAsia="仿宋" w:cs="Times New Roman"/>
          <w:bCs/>
          <w:sz w:val="28"/>
          <w:szCs w:val="28"/>
        </w:rPr>
        <w:t>_____________（填：合同名称）合同清单</w:t>
      </w:r>
      <w:r>
        <w:rPr>
          <w:rFonts w:hint="eastAsia" w:ascii="Times New Roman" w:hAnsi="Times New Roman" w:eastAsia="仿宋_GB2312" w:cs="Times New Roman"/>
          <w:bCs/>
          <w:i/>
          <w:color w:val="C00000"/>
          <w:sz w:val="28"/>
          <w:szCs w:val="28"/>
          <w:u w:val="single"/>
          <w:lang w:eastAsia="zh-CN"/>
        </w:rPr>
        <w:t>（详见</w:t>
      </w:r>
      <w:r>
        <w:rPr>
          <w:rFonts w:hint="eastAsia" w:ascii="Times New Roman" w:hAnsi="Times New Roman" w:eastAsia="仿宋_GB2312" w:cs="Times New Roman"/>
          <w:bCs/>
          <w:i/>
          <w:color w:val="C00000"/>
          <w:sz w:val="28"/>
          <w:szCs w:val="28"/>
          <w:u w:val="single"/>
          <w:lang w:val="en-US" w:eastAsia="zh-CN"/>
        </w:rPr>
        <w:t>excel文件</w:t>
      </w:r>
      <w:r>
        <w:rPr>
          <w:rFonts w:hint="eastAsia" w:ascii="Times New Roman" w:hAnsi="Times New Roman" w:eastAsia="仿宋_GB2312" w:cs="Times New Roman"/>
          <w:bCs/>
          <w:i/>
          <w:color w:val="C00000"/>
          <w:sz w:val="28"/>
          <w:szCs w:val="28"/>
          <w:u w:val="single"/>
          <w:lang w:eastAsia="zh-CN"/>
        </w:rPr>
        <w:t>）</w:t>
      </w:r>
    </w:p>
    <w:p>
      <w:pPr>
        <w:widowControl/>
        <w:tabs>
          <w:tab w:val="left" w:pos="0"/>
        </w:tabs>
        <w:spacing w:line="440" w:lineRule="exact"/>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（本页无正文，为签字盖章页）</w:t>
      </w: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甲方：</w:t>
      </w: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kern w:val="0"/>
          <w:sz w:val="28"/>
          <w:szCs w:val="28"/>
        </w:rPr>
      </w:pP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乙方：</w:t>
      </w:r>
    </w:p>
    <w:p>
      <w:pPr>
        <w:numPr>
          <w:ilvl w:val="0"/>
          <w:numId w:val="0"/>
        </w:numPr>
        <w:adjustRightInd w:val="0"/>
        <w:snapToGrid w:val="0"/>
        <w:spacing w:line="44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签订地点：</w:t>
      </w:r>
    </w:p>
    <w:p>
      <w:pPr>
        <w:sectPr>
          <w:pgSz w:w="11906" w:h="16838"/>
          <w:pgMar w:top="1440" w:right="1800" w:bottom="1440" w:left="1800" w:header="851" w:footer="992" w:gutter="0"/>
          <w:cols w:space="425" w:num="1"/>
          <w:docGrid w:type="lines" w:linePitch="312" w:charSpace="0"/>
        </w:sectPr>
      </w:pPr>
    </w:p>
    <w:tbl>
      <w:tblPr>
        <w:tblStyle w:val="7"/>
        <w:tblW w:w="15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vAlign w:val="center"/>
          </w:tcPr>
          <w:p>
            <w:pPr>
              <w:rPr>
                <w:rFonts w:hint="default" w:ascii="Times New Roman" w:hAnsi="Times New Roman" w:eastAsia="宋体" w:cs="Times New Roman"/>
                <w:i w:val="0"/>
                <w:color w:val="000000"/>
                <w:sz w:val="33"/>
                <w:szCs w:val="33"/>
                <w:u w:val="none"/>
              </w:rPr>
            </w:pPr>
          </w:p>
        </w:tc>
        <w:tc>
          <w:tcPr>
            <w:tcW w:w="1226" w:type="dxa"/>
            <w:vAlign w:val="center"/>
          </w:tcPr>
          <w:p>
            <w:pPr>
              <w:rPr>
                <w:rFonts w:hint="default" w:ascii="Times New Roman" w:hAnsi="Times New Roman" w:eastAsia="宋体" w:cs="Times New Roman"/>
                <w:i w:val="0"/>
                <w:color w:val="000000"/>
                <w:sz w:val="33"/>
                <w:szCs w:val="33"/>
                <w:u w:val="none"/>
              </w:rPr>
            </w:pPr>
          </w:p>
        </w:tc>
        <w:tc>
          <w:tcPr>
            <w:tcW w:w="1226" w:type="dxa"/>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bidi="ar"/>
              </w:rPr>
              <w:t>运输</w:t>
            </w:r>
            <w:r>
              <w:rPr>
                <w:rFonts w:hint="eastAsia" w:ascii="宋体" w:hAnsi="宋体" w:eastAsia="宋体" w:cs="宋体"/>
                <w:i w:val="0"/>
                <w:color w:val="000000"/>
                <w:kern w:val="0"/>
                <w:sz w:val="28"/>
                <w:szCs w:val="28"/>
                <w:u w:val="none"/>
                <w:lang w:val="en-US" w:eastAsia="zh-CN" w:bidi="ar"/>
              </w:rPr>
              <w:t>（或应税劳务、服务等）名称</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bidi="ar"/>
              </w:rPr>
              <w:t>运输</w:t>
            </w:r>
            <w:r>
              <w:rPr>
                <w:rFonts w:hint="eastAsia" w:ascii="宋体" w:hAnsi="宋体" w:eastAsia="宋体" w:cs="宋体"/>
                <w:i w:val="0"/>
                <w:color w:val="000000"/>
                <w:kern w:val="0"/>
                <w:sz w:val="28"/>
                <w:szCs w:val="28"/>
                <w:u w:val="none"/>
                <w:lang w:val="en-US" w:eastAsia="zh-CN" w:bidi="ar"/>
              </w:rPr>
              <w:t>（或应税劳务、服务等）特征</w:t>
            </w:r>
            <w:r>
              <w:rPr>
                <w:rFonts w:hint="eastAsia" w:ascii="宋体" w:hAnsi="宋体" w:cs="宋体"/>
                <w:i w:val="0"/>
                <w:color w:val="000000"/>
                <w:kern w:val="0"/>
                <w:sz w:val="28"/>
                <w:szCs w:val="28"/>
                <w:u w:val="none"/>
                <w:lang w:val="en-US" w:eastAsia="zh-CN" w:bidi="ar"/>
              </w:rPr>
              <w:t>及内容</w:t>
            </w:r>
            <w:r>
              <w:rPr>
                <w:rFonts w:hint="eastAsia" w:ascii="宋体" w:hAnsi="宋体" w:eastAsia="宋体" w:cs="宋体"/>
                <w:i w:val="0"/>
                <w:color w:val="000000"/>
                <w:kern w:val="0"/>
                <w:sz w:val="28"/>
                <w:szCs w:val="28"/>
                <w:u w:val="none"/>
                <w:lang w:val="en-US" w:eastAsia="zh-CN" w:bidi="ar"/>
              </w:rPr>
              <w:t>（规格、品牌）</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outlineLvl w:val="9"/>
              <w:rPr>
                <w:rFonts w:hint="eastAsia" w:ascii="宋体" w:hAnsi="宋体" w:eastAsia="宋体" w:cs="宋体"/>
                <w:i w:val="0"/>
                <w:color w:val="000000"/>
                <w:sz w:val="28"/>
                <w:szCs w:val="28"/>
                <w:u w:val="none"/>
              </w:rPr>
            </w:pPr>
            <w:r>
              <w:rPr>
                <w:rFonts w:hint="eastAsia" w:ascii="宋体" w:hAnsi="宋体" w:cs="宋体"/>
                <w:color w:val="FF0000"/>
                <w:kern w:val="0"/>
                <w:sz w:val="28"/>
                <w:szCs w:val="28"/>
                <w:u w:val="none"/>
                <w:lang w:val="en-US" w:eastAsia="zh-CN" w:bidi="ar"/>
              </w:rPr>
              <w:t>暂定工程量</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outlineLvl w:val="9"/>
              <w:rPr>
                <w:rFonts w:hint="eastAsia" w:ascii="宋体" w:hAnsi="宋体" w:eastAsia="宋体" w:cs="宋体"/>
                <w:i w:val="0"/>
                <w:color w:val="000000"/>
                <w:sz w:val="28"/>
                <w:szCs w:val="28"/>
                <w:u w:val="none"/>
              </w:rPr>
            </w:pPr>
            <w:r>
              <w:rPr>
                <w:rFonts w:hint="eastAsia" w:ascii="宋体" w:hAnsi="宋体" w:cs="宋体"/>
                <w:color w:val="FF0000"/>
                <w:kern w:val="0"/>
                <w:sz w:val="28"/>
                <w:szCs w:val="28"/>
                <w:u w:val="none"/>
                <w:lang w:val="en-US" w:eastAsia="zh-CN" w:bidi="ar"/>
              </w:rPr>
              <w:t>暂定租期</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2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pStyle w:val="2"/>
      </w:pPr>
    </w:p>
    <w:p>
      <w:pPr>
        <w:rPr>
          <w:rFonts w:hint="eastAsia"/>
        </w:rPr>
      </w:pPr>
    </w:p>
    <w:p>
      <w:pPr>
        <w:numPr>
          <w:ilvl w:val="255"/>
          <w:numId w:val="0"/>
        </w:numPr>
        <w:adjustRightInd w:val="0"/>
        <w:snapToGrid w:val="0"/>
        <w:spacing w:line="440" w:lineRule="exact"/>
        <w:rPr>
          <w:rFonts w:ascii="Times New Roman" w:hAnsi="Times New Roman" w:eastAsia="仿宋_GB2312" w:cs="Times New Roman"/>
          <w:kern w:val="0"/>
          <w:sz w:val="28"/>
          <w:szCs w:val="28"/>
        </w:rPr>
      </w:pPr>
    </w:p>
    <w:p/>
    <w:p>
      <w:pPr>
        <w:numPr>
          <w:ilvl w:val="255"/>
          <w:numId w:val="0"/>
        </w:numPr>
        <w:adjustRightInd w:val="0"/>
        <w:snapToGrid w:val="0"/>
        <w:spacing w:line="440" w:lineRule="exact"/>
        <w:jc w:val="center"/>
        <w:rPr>
          <w:rFonts w:ascii="Times New Roman" w:hAnsi="Times New Roman" w:eastAsia="仿宋_GB2312"/>
          <w:kern w:val="0"/>
          <w:sz w:val="28"/>
          <w:szCs w:val="28"/>
        </w:rPr>
        <w:sectPr>
          <w:headerReference r:id="rId4" w:type="default"/>
          <w:footerReference r:id="rId5" w:type="default"/>
          <w:pgSz w:w="16838" w:h="11906" w:orient="landscape"/>
          <w:pgMar w:top="1803" w:right="1417" w:bottom="1803" w:left="1417" w:header="851" w:footer="992" w:gutter="0"/>
          <w:cols w:space="0" w:num="1"/>
          <w:rtlGutter w:val="0"/>
          <w:docGrid w:type="lines" w:linePitch="319"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napToGrid w:val="0"/>
        <w:spacing w:line="360" w:lineRule="auto"/>
        <w:jc w:val="center"/>
        <w:outlineLvl w:val="3"/>
        <w:rPr>
          <w:rFonts w:hint="eastAsia" w:ascii="宋体" w:hAnsi="宋体" w:cs="宋体"/>
          <w:b/>
          <w:sz w:val="30"/>
          <w:highlight w:val="none"/>
          <w:lang w:eastAsia="zh-CN"/>
        </w:rPr>
      </w:pPr>
      <w:r>
        <w:rPr>
          <w:rFonts w:hint="eastAsia" w:ascii="宋体" w:hAnsi="宋体" w:cs="宋体"/>
          <w:b/>
          <w:sz w:val="30"/>
          <w:highlight w:val="none"/>
        </w:rPr>
        <w:t>江津区四屏镇旺龙村还房安置（二期）工程</w:t>
      </w:r>
      <w:r>
        <w:rPr>
          <w:rFonts w:hint="eastAsia" w:ascii="宋体" w:hAnsi="宋体" w:cs="宋体"/>
          <w:b/>
          <w:sz w:val="30"/>
          <w:highlight w:val="none"/>
          <w:lang w:eastAsia="zh-CN"/>
        </w:rPr>
        <w:t>渣土外运</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2021-04-1001</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江津区四屏镇旺龙村还房安置（二期）工程</w:t>
      </w:r>
      <w:r>
        <w:rPr>
          <w:rFonts w:hint="eastAsia" w:ascii="宋体" w:hAnsi="宋体" w:cs="宋体"/>
          <w:sz w:val="28"/>
          <w:szCs w:val="28"/>
          <w:highlight w:val="none"/>
          <w:u w:val="single"/>
          <w:lang w:eastAsia="zh-CN"/>
        </w:rPr>
        <w:t>渣土外运</w:t>
      </w:r>
      <w:r>
        <w:rPr>
          <w:rFonts w:hint="eastAsia" w:ascii="宋体" w:hAnsi="宋体" w:cs="宋体"/>
          <w:sz w:val="28"/>
          <w:szCs w:val="28"/>
          <w:highlight w:val="none"/>
          <w:u w:val="none"/>
          <w:lang w:val="en-US" w:eastAsia="zh-CN"/>
        </w:rPr>
        <w:t xml:space="preserve"> </w:t>
      </w:r>
      <w:r>
        <w:rPr>
          <w:rFonts w:hint="eastAsia" w:ascii="宋体" w:hAnsi="宋体" w:cs="宋体"/>
          <w:sz w:val="28"/>
          <w:szCs w:val="28"/>
          <w:highlight w:val="none"/>
        </w:rPr>
        <w:t>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5998016"/>
      <w:bookmarkStart w:id="10" w:name="_Toc6397151"/>
      <w:bookmarkStart w:id="11" w:name="_Toc6727972"/>
      <w:bookmarkStart w:id="12" w:name="_Toc500861027"/>
      <w:bookmarkStart w:id="13" w:name="_Toc90779596"/>
      <w:bookmarkStart w:id="14" w:name="_Toc26066260"/>
      <w:bookmarkStart w:id="15" w:name="_Toc49165868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hint="eastAsia" w:ascii="宋体" w:hAnsi="宋体" w:cs="宋体"/>
          <w:sz w:val="28"/>
          <w:szCs w:val="28"/>
          <w:highlight w:val="none"/>
        </w:rPr>
      </w:pPr>
      <w:r>
        <w:rPr>
          <w:rFonts w:hint="eastAsia" w:ascii="宋体" w:hAnsi="宋体" w:cs="宋体"/>
          <w:sz w:val="28"/>
          <w:szCs w:val="28"/>
          <w:highlight w:val="none"/>
        </w:rPr>
        <w:br w:type="page"/>
      </w:r>
    </w:p>
    <w:p>
      <w:pPr>
        <w:pStyle w:val="2"/>
        <w:jc w:val="both"/>
        <w:rPr>
          <w:rFonts w:hint="eastAsia" w:ascii="宋体" w:hAnsi="宋体" w:cs="宋体" w:eastAsiaTheme="minorEastAsia"/>
          <w:b w:val="0"/>
          <w:sz w:val="28"/>
          <w:szCs w:val="28"/>
          <w:highlight w:val="none"/>
        </w:rPr>
      </w:pPr>
      <w:r>
        <w:rPr>
          <w:rFonts w:hint="eastAsia" w:ascii="宋体" w:hAnsi="宋体" w:cs="宋体" w:eastAsiaTheme="minorEastAsia"/>
          <w:b w:val="0"/>
          <w:sz w:val="28"/>
          <w:szCs w:val="28"/>
          <w:highlight w:val="none"/>
        </w:rPr>
        <w:t>附：</w:t>
      </w:r>
      <w:r>
        <w:rPr>
          <w:rFonts w:hint="eastAsia" w:ascii="宋体" w:hAnsi="宋体" w:cs="宋体" w:eastAsiaTheme="minorEastAsia"/>
          <w:b w:val="0"/>
          <w:bCs w:val="0"/>
          <w:sz w:val="28"/>
          <w:szCs w:val="28"/>
          <w:highlight w:val="none"/>
          <w:lang w:eastAsia="zh-CN"/>
        </w:rPr>
        <w:t>道路运输经营许可证</w:t>
      </w:r>
      <w:r>
        <w:rPr>
          <w:rFonts w:hint="eastAsia" w:ascii="宋体" w:hAnsi="宋体" w:cs="宋体" w:eastAsiaTheme="minorEastAsia"/>
          <w:b w:val="0"/>
          <w:sz w:val="28"/>
          <w:szCs w:val="28"/>
          <w:highlight w:val="none"/>
        </w:rPr>
        <w:t>复印件（盖公章）</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rPr>
        <w:t>江津区四屏镇旺龙村还房安置（二期）工程</w:t>
      </w:r>
      <w:r>
        <w:rPr>
          <w:rFonts w:hint="eastAsia" w:ascii="宋体" w:hAnsi="宋体" w:cs="宋体"/>
          <w:kern w:val="0"/>
          <w:sz w:val="28"/>
          <w:szCs w:val="28"/>
          <w:highlight w:val="none"/>
          <w:u w:val="single"/>
          <w:lang w:eastAsia="zh-CN"/>
        </w:rPr>
        <w:t>渣土外运</w:t>
      </w:r>
      <w:r>
        <w:rPr>
          <w:rFonts w:hint="eastAsia" w:ascii="宋体" w:hAnsi="宋体" w:cs="宋体"/>
          <w:sz w:val="28"/>
          <w:szCs w:val="28"/>
          <w:highlight w:val="none"/>
        </w:rPr>
        <w:t>招采（招采编号：</w:t>
      </w:r>
      <w:r>
        <w:rPr>
          <w:rFonts w:hint="eastAsia" w:ascii="宋体" w:hAnsi="宋体" w:cs="宋体"/>
          <w:sz w:val="28"/>
          <w:highlight w:val="none"/>
          <w:lang w:val="en-US" w:eastAsia="zh-CN"/>
        </w:rPr>
        <w:t>2021-04-1001</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1312;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rPr>
        <w:t>江津区四屏镇旺龙村还房安置（二期）工程</w:t>
      </w:r>
      <w:r>
        <w:rPr>
          <w:rFonts w:hint="eastAsia" w:ascii="宋体" w:hAnsi="宋体" w:cs="宋体"/>
          <w:kern w:val="0"/>
          <w:sz w:val="28"/>
          <w:szCs w:val="28"/>
          <w:highlight w:val="none"/>
          <w:u w:val="single"/>
          <w:lang w:eastAsia="zh-CN"/>
        </w:rPr>
        <w:t>渣土外运</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2021-04-1001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60288;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line="520" w:lineRule="exact"/>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spacing w:line="520" w:lineRule="exact"/>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spacing w:line="520" w:lineRule="exac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spacing w:line="520" w:lineRule="exact"/>
        <w:rPr>
          <w:rFonts w:ascii="宋体" w:hAnsi="宋体" w:cs="宋体"/>
          <w:kern w:val="0"/>
          <w:sz w:val="28"/>
          <w:szCs w:val="28"/>
          <w:highlight w:val="none"/>
        </w:rPr>
      </w:pPr>
      <w:r>
        <w:rPr>
          <w:rFonts w:hint="eastAsia" w:ascii="宋体" w:hAnsi="宋体" w:cs="宋体"/>
          <w:kern w:val="0"/>
          <w:sz w:val="28"/>
          <w:szCs w:val="28"/>
          <w:highlight w:val="none"/>
        </w:rPr>
        <w:t>日期：年月日</w:t>
      </w:r>
    </w:p>
    <w:p>
      <w:pPr>
        <w:spacing w:line="520" w:lineRule="exact"/>
        <w:rPr>
          <w:rFonts w:hint="eastAsia" w:ascii="宋体" w:hAnsi="宋体" w:cs="宋体"/>
          <w:sz w:val="28"/>
          <w:szCs w:val="28"/>
          <w:highlight w:val="none"/>
        </w:rPr>
        <w:sectPr>
          <w:pgSz w:w="11906" w:h="16838"/>
          <w:pgMar w:top="1417" w:right="1803" w:bottom="1417" w:left="1803" w:header="851" w:footer="992" w:gutter="0"/>
          <w:cols w:space="0" w:num="1"/>
          <w:rtlGutter w:val="0"/>
          <w:docGrid w:type="lines" w:linePitch="326"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pPr w:leftFromText="180" w:rightFromText="180" w:vertAnchor="text" w:horzAnchor="page" w:tblpX="1767" w:tblpY="849"/>
        <w:tblOverlap w:val="never"/>
        <w:tblW w:w="8331" w:type="dxa"/>
        <w:tblInd w:w="0" w:type="dxa"/>
        <w:shd w:val="clear" w:color="auto" w:fill="auto"/>
        <w:tblLayout w:type="fixed"/>
        <w:tblCellMar>
          <w:top w:w="0" w:type="dxa"/>
          <w:left w:w="0" w:type="dxa"/>
          <w:bottom w:w="0" w:type="dxa"/>
          <w:right w:w="0" w:type="dxa"/>
        </w:tblCellMar>
      </w:tblPr>
      <w:tblGrid>
        <w:gridCol w:w="304"/>
        <w:gridCol w:w="1614"/>
        <w:gridCol w:w="997"/>
        <w:gridCol w:w="527"/>
        <w:gridCol w:w="845"/>
        <w:gridCol w:w="785"/>
        <w:gridCol w:w="605"/>
        <w:gridCol w:w="932"/>
        <w:gridCol w:w="574"/>
        <w:gridCol w:w="574"/>
        <w:gridCol w:w="574"/>
      </w:tblGrid>
      <w:tr>
        <w:tblPrEx>
          <w:shd w:val="clear" w:color="auto" w:fill="auto"/>
          <w:tblCellMar>
            <w:top w:w="0" w:type="dxa"/>
            <w:left w:w="0" w:type="dxa"/>
            <w:bottom w:w="0" w:type="dxa"/>
            <w:right w:w="0" w:type="dxa"/>
          </w:tblCellMar>
        </w:tblPrEx>
        <w:trPr>
          <w:trHeight w:val="355" w:hRule="atLeast"/>
        </w:trPr>
        <w:tc>
          <w:tcPr>
            <w:tcW w:w="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序号</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设备名称</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规格型号</w:t>
            </w:r>
          </w:p>
        </w:tc>
        <w:tc>
          <w:tcPr>
            <w:tcW w:w="52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单位</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暂定</w:t>
            </w:r>
          </w:p>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数量</w:t>
            </w:r>
          </w:p>
        </w:tc>
        <w:tc>
          <w:tcPr>
            <w:tcW w:w="7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暂定工程量（天）</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限价（含税）</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报价（含税）</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备注</w:t>
            </w:r>
          </w:p>
        </w:tc>
      </w:tr>
      <w:tr>
        <w:tblPrEx>
          <w:tblCellMar>
            <w:top w:w="0" w:type="dxa"/>
            <w:left w:w="0" w:type="dxa"/>
            <w:bottom w:w="0" w:type="dxa"/>
            <w:right w:w="0" w:type="dxa"/>
          </w:tblCellMar>
        </w:tblPrEx>
        <w:trPr>
          <w:trHeight w:val="385" w:hRule="atLeast"/>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2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7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单价</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合价</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单价</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合价</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360" w:firstLineChars="200"/>
              <w:jc w:val="center"/>
              <w:rPr>
                <w:rFonts w:hint="eastAsia"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83" w:hRule="atLeast"/>
        </w:trPr>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运输服务</w:t>
            </w:r>
          </w:p>
        </w:tc>
        <w:tc>
          <w:tcPr>
            <w:tcW w:w="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运费</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吨</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184591.86 </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6.5 </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1199847.09 </w:t>
            </w:r>
          </w:p>
        </w:tc>
        <w:tc>
          <w:tcPr>
            <w:tcW w:w="57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c>
          <w:tcPr>
            <w:tcW w:w="57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c>
          <w:tcPr>
            <w:tcW w:w="57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18"/>
                <w:szCs w:val="18"/>
                <w:lang w:val="en-US" w:eastAsia="zh-CN"/>
                <w14:textFill>
                  <w14:solidFill>
                    <w14:schemeClr w14:val="tx1"/>
                  </w14:solidFill>
                </w14:textFill>
              </w:rPr>
            </w:pPr>
          </w:p>
        </w:tc>
      </w:tr>
      <w:tr>
        <w:tblPrEx>
          <w:tblCellMar>
            <w:top w:w="0" w:type="dxa"/>
            <w:left w:w="0" w:type="dxa"/>
            <w:bottom w:w="0" w:type="dxa"/>
            <w:right w:w="0" w:type="dxa"/>
          </w:tblCellMar>
        </w:tblPrEx>
        <w:trPr>
          <w:trHeight w:val="435" w:hRule="atLeast"/>
        </w:trPr>
        <w:tc>
          <w:tcPr>
            <w:tcW w:w="42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合计（元）</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lang w:val="en-US" w:eastAsia="zh-CN"/>
                <w14:textFill>
                  <w14:solidFill>
                    <w14:schemeClr w14:val="tx1"/>
                  </w14:solidFill>
                </w14:textFill>
              </w:rPr>
            </w:pP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val="0"/>
              <w:suppressLineNumbers w:val="0"/>
              <w:tabs>
                <w:tab w:val="left" w:pos="9620"/>
              </w:tabs>
              <w:spacing w:line="240" w:lineRule="auto"/>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1199847.09</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hint="eastAsia" w:ascii="宋体" w:hAnsi="宋体" w:cs="宋体"/>
                <w:color w:val="000000" w:themeColor="text1"/>
                <w:sz w:val="18"/>
                <w:szCs w:val="18"/>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themeColor="text1"/>
          <w:sz w:val="18"/>
          <w:szCs w:val="18"/>
          <w:highlight w:val="none"/>
          <w14:textFill>
            <w14:solidFill>
              <w14:schemeClr w14:val="tx1"/>
            </w14:solidFill>
          </w14:textFill>
        </w:rPr>
      </w:pPr>
    </w:p>
    <w:p>
      <w:pPr>
        <w:tabs>
          <w:tab w:val="left" w:pos="9620"/>
        </w:tabs>
        <w:spacing w:line="440" w:lineRule="exact"/>
        <w:ind w:firstLine="360" w:firstLineChars="200"/>
        <w:rPr>
          <w:rFonts w:hint="eastAsia" w:ascii="宋体" w:hAnsi="宋体" w:cs="宋体"/>
          <w:color w:val="000000"/>
          <w:kern w:val="0"/>
          <w:sz w:val="20"/>
          <w:szCs w:val="20"/>
          <w:u w:val="none"/>
          <w:lang w:val="en-US" w:eastAsia="zh-CN" w:bidi="ar"/>
        </w:rPr>
      </w:pPr>
      <w:r>
        <w:rPr>
          <w:rFonts w:hint="eastAsia" w:ascii="宋体" w:hAnsi="宋体" w:cs="宋体"/>
          <w:color w:val="000000" w:themeColor="text1"/>
          <w:sz w:val="18"/>
          <w:szCs w:val="18"/>
          <w:highlight w:val="none"/>
          <w14:textFill>
            <w14:solidFill>
              <w14:schemeClr w14:val="tx1"/>
            </w14:solidFill>
          </w14:textFill>
        </w:rPr>
        <w:t>备注</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kern w:val="0"/>
          <w:sz w:val="20"/>
          <w:szCs w:val="20"/>
          <w:u w:val="none"/>
          <w:lang w:val="en-US" w:eastAsia="zh-CN" w:bidi="ar"/>
        </w:rPr>
        <w:t>综合单价包含密闭运输费、人员工资及食宿费、渣场清洁费、安全文明施工费、管理费、利润、税金（税率为9%）、风险费等一切相关费用。</w:t>
      </w:r>
    </w:p>
    <w:p>
      <w:pPr>
        <w:tabs>
          <w:tab w:val="left" w:pos="9620"/>
        </w:tabs>
        <w:spacing w:line="440" w:lineRule="exact"/>
        <w:ind w:firstLine="360" w:firstLineChars="200"/>
        <w:rPr>
          <w:rFonts w:ascii="宋体" w:hAnsi="宋体" w:cs="宋体"/>
          <w:color w:val="000000" w:themeColor="text1"/>
          <w:sz w:val="18"/>
          <w:szCs w:val="18"/>
          <w14:textFill>
            <w14:solidFill>
              <w14:schemeClr w14:val="tx1"/>
            </w14:solidFill>
          </w14:textFill>
        </w:rPr>
      </w:pP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3" w:bottom="1417" w:left="1803" w:header="851" w:footer="992" w:gutter="0"/>
          <w:cols w:space="0" w:num="1"/>
          <w:rtlGutter w:val="0"/>
          <w:docGrid w:type="lines" w:linePitch="326"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黑体" w:hAnsi="黑体" w:eastAsia="黑体" w:cs="黑体"/>
          <w:b/>
          <w:sz w:val="36"/>
          <w:szCs w:val="36"/>
          <w:highlight w:val="none"/>
          <w:lang w:val="en-US" w:eastAsia="zh-CN"/>
        </w:rPr>
      </w:pPr>
      <w:r>
        <w:rPr>
          <w:rFonts w:hint="eastAsia" w:ascii="黑体" w:hAnsi="黑体" w:eastAsia="黑体" w:cs="黑体"/>
          <w:kern w:val="0"/>
          <w:sz w:val="36"/>
          <w:szCs w:val="36"/>
          <w:highlight w:val="none"/>
          <w:u w:val="single"/>
        </w:rPr>
        <w:t>江津区四屏镇旺龙村还房安置（二期）工程</w:t>
      </w:r>
      <w:r>
        <w:rPr>
          <w:rFonts w:hint="eastAsia" w:ascii="黑体" w:hAnsi="黑体" w:eastAsia="黑体" w:cs="黑体"/>
          <w:kern w:val="0"/>
          <w:sz w:val="36"/>
          <w:szCs w:val="36"/>
          <w:highlight w:val="none"/>
          <w:u w:val="single"/>
          <w:lang w:eastAsia="zh-CN"/>
        </w:rPr>
        <w:t>渣土外运</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2021-04-1001</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sectPr>
      <w:pgSz w:w="11906" w:h="16838"/>
      <w:pgMar w:top="1417" w:right="1803" w:bottom="1417" w:left="1803"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833"/>
    <w:multiLevelType w:val="singleLevel"/>
    <w:tmpl w:val="0B532833"/>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D236C6"/>
    <w:rsid w:val="01346DE3"/>
    <w:rsid w:val="02A02F8E"/>
    <w:rsid w:val="039E21F2"/>
    <w:rsid w:val="04E45D6F"/>
    <w:rsid w:val="075B1085"/>
    <w:rsid w:val="07747F4A"/>
    <w:rsid w:val="07BA6440"/>
    <w:rsid w:val="07E83EAE"/>
    <w:rsid w:val="0A2A123B"/>
    <w:rsid w:val="0A897806"/>
    <w:rsid w:val="11D97BE8"/>
    <w:rsid w:val="132403DB"/>
    <w:rsid w:val="148A0F7E"/>
    <w:rsid w:val="15222956"/>
    <w:rsid w:val="161F06D9"/>
    <w:rsid w:val="16410713"/>
    <w:rsid w:val="18326A86"/>
    <w:rsid w:val="1AFC7D9F"/>
    <w:rsid w:val="1B6963F4"/>
    <w:rsid w:val="1B7048A9"/>
    <w:rsid w:val="1C2837CD"/>
    <w:rsid w:val="1D153C72"/>
    <w:rsid w:val="1D233881"/>
    <w:rsid w:val="1F5461E1"/>
    <w:rsid w:val="20B238FC"/>
    <w:rsid w:val="215560CE"/>
    <w:rsid w:val="22213D29"/>
    <w:rsid w:val="23DA6521"/>
    <w:rsid w:val="24603DE3"/>
    <w:rsid w:val="251B3275"/>
    <w:rsid w:val="25BB3505"/>
    <w:rsid w:val="2B88453B"/>
    <w:rsid w:val="2E785148"/>
    <w:rsid w:val="2EBF7B53"/>
    <w:rsid w:val="31736CF8"/>
    <w:rsid w:val="32DC674F"/>
    <w:rsid w:val="33C745D7"/>
    <w:rsid w:val="34A6464A"/>
    <w:rsid w:val="35D14038"/>
    <w:rsid w:val="35ED2F2F"/>
    <w:rsid w:val="36BC660E"/>
    <w:rsid w:val="3A9F66D9"/>
    <w:rsid w:val="3C9D0CDB"/>
    <w:rsid w:val="3E0218E3"/>
    <w:rsid w:val="3E6E7DD1"/>
    <w:rsid w:val="3EA65D42"/>
    <w:rsid w:val="3F54564C"/>
    <w:rsid w:val="3FE404AA"/>
    <w:rsid w:val="400F1345"/>
    <w:rsid w:val="40137F99"/>
    <w:rsid w:val="406E557E"/>
    <w:rsid w:val="40FE56A0"/>
    <w:rsid w:val="41DE2D42"/>
    <w:rsid w:val="429064AE"/>
    <w:rsid w:val="442E39D6"/>
    <w:rsid w:val="47D6661B"/>
    <w:rsid w:val="4A9B4C3B"/>
    <w:rsid w:val="4AB70B0A"/>
    <w:rsid w:val="4ABB2297"/>
    <w:rsid w:val="4AF661DF"/>
    <w:rsid w:val="4BC274DA"/>
    <w:rsid w:val="4BF361D2"/>
    <w:rsid w:val="4EE545A9"/>
    <w:rsid w:val="50F37175"/>
    <w:rsid w:val="511474FE"/>
    <w:rsid w:val="53FA7B20"/>
    <w:rsid w:val="56055FFD"/>
    <w:rsid w:val="5A282677"/>
    <w:rsid w:val="5CB15245"/>
    <w:rsid w:val="5DAD243B"/>
    <w:rsid w:val="61501486"/>
    <w:rsid w:val="62285051"/>
    <w:rsid w:val="63101EAA"/>
    <w:rsid w:val="641651E2"/>
    <w:rsid w:val="66420489"/>
    <w:rsid w:val="676163E5"/>
    <w:rsid w:val="676D6E9B"/>
    <w:rsid w:val="67F2298E"/>
    <w:rsid w:val="68C24E3B"/>
    <w:rsid w:val="6D7E485B"/>
    <w:rsid w:val="6E4614E6"/>
    <w:rsid w:val="6F35522F"/>
    <w:rsid w:val="6FCF7CA2"/>
    <w:rsid w:val="701075C6"/>
    <w:rsid w:val="709E1FAD"/>
    <w:rsid w:val="73EA1E5C"/>
    <w:rsid w:val="743720FD"/>
    <w:rsid w:val="76005D96"/>
    <w:rsid w:val="77184213"/>
    <w:rsid w:val="790E7FCF"/>
    <w:rsid w:val="79C8646C"/>
    <w:rsid w:val="7C376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line="500" w:lineRule="exact"/>
      <w:jc w:val="center"/>
      <w:outlineLvl w:val="1"/>
    </w:pPr>
    <w:rPr>
      <w:rFonts w:ascii="Arial" w:hAnsi="Arial" w:eastAsia="黑体"/>
      <w:b/>
      <w:bCs/>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2021-01-12T06:32:53Z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500924187_cloud</vt:lpwstr>
  </property>
</Properties>
</file>