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tabs>
          <w:tab w:val="left" w:pos="670"/>
          <w:tab w:val="center" w:pos="4252"/>
        </w:tabs>
        <w:spacing w:line="360" w:lineRule="auto"/>
        <w:jc w:val="center"/>
        <w:outlineLvl w:val="3"/>
        <w:rPr>
          <w:rFonts w:hint="eastAsia" w:ascii="黑体" w:hAnsi="宋体" w:eastAsia="黑体" w:cs="Times New Roman"/>
          <w:b/>
          <w:sz w:val="44"/>
          <w:szCs w:val="44"/>
        </w:rPr>
      </w:pPr>
      <w:r>
        <w:rPr>
          <w:rFonts w:hint="eastAsia" w:ascii="黑体" w:hAnsi="宋体" w:eastAsia="黑体"/>
          <w:b/>
          <w:sz w:val="44"/>
          <w:szCs w:val="44"/>
          <w:lang w:val="en-US" w:eastAsia="zh-CN"/>
        </w:rPr>
        <w:t>龙水镇文化广场安置还房（幸湖佳苑）工程一期</w:t>
      </w:r>
    </w:p>
    <w:p>
      <w:pPr>
        <w:tabs>
          <w:tab w:val="left" w:pos="670"/>
          <w:tab w:val="center" w:pos="4252"/>
        </w:tabs>
        <w:adjustRightInd/>
        <w:snapToGrid/>
        <w:spacing w:line="360" w:lineRule="auto"/>
        <w:ind w:left="0" w:leftChars="0"/>
        <w:jc w:val="center"/>
        <w:outlineLvl w:val="3"/>
        <w:rPr>
          <w:rFonts w:hint="eastAsia" w:ascii="黑体" w:hAnsi="宋体" w:eastAsia="黑体"/>
          <w:b/>
          <w:sz w:val="44"/>
          <w:szCs w:val="44"/>
        </w:rPr>
      </w:pPr>
      <w:r>
        <w:rPr>
          <w:rFonts w:hint="eastAsia" w:ascii="黑体" w:hAnsi="宋体" w:eastAsia="黑体"/>
          <w:b/>
          <w:sz w:val="44"/>
          <w:szCs w:val="44"/>
          <w:lang w:val="en-US" w:eastAsia="zh-CN"/>
        </w:rPr>
        <w:t>钢材</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ascii="宋体" w:hAnsi="宋体" w:cs="宋体"/>
          <w:sz w:val="28"/>
        </w:rPr>
      </w:pPr>
      <w:r>
        <w:rPr>
          <w:rFonts w:hint="eastAsia" w:ascii="宋体" w:hAnsi="宋体" w:cs="宋体"/>
          <w:sz w:val="28"/>
        </w:rPr>
        <w:t>招采文件编号：</w:t>
      </w:r>
      <w:r>
        <w:rPr>
          <w:rFonts w:hint="eastAsia" w:ascii="宋体" w:hAnsi="宋体" w:cs="宋体"/>
          <w:sz w:val="28"/>
          <w:lang w:val="en-US" w:eastAsia="zh-CN"/>
        </w:rPr>
        <w:t>2021-03-1002</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Cs/>
          <w:sz w:val="28"/>
          <w:u w:val="single"/>
          <w:lang w:val="en-US" w:eastAsia="zh-CN"/>
        </w:rPr>
        <w:t>龙水镇文化广场安置还房（幸湖佳苑）工程一期钢材采购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Cs/>
          <w:sz w:val="28"/>
          <w:u w:val="single"/>
          <w:lang w:val="en-US" w:eastAsia="zh-CN"/>
        </w:rPr>
        <w:t>龙水镇文化广场安置还房（幸湖佳苑）工程一期</w:t>
      </w:r>
      <w:r>
        <w:rPr>
          <w:rFonts w:hint="eastAsia" w:ascii="宋体" w:hAnsi="宋体" w:cs="宋体"/>
          <w:color w:val="000000" w:themeColor="text1"/>
          <w:sz w:val="28"/>
        </w:rPr>
        <w:t>。</w:t>
      </w:r>
    </w:p>
    <w:p>
      <w:pPr>
        <w:snapToGrid w:val="0"/>
        <w:spacing w:line="360" w:lineRule="auto"/>
        <w:ind w:firstLine="560" w:firstLineChars="200"/>
        <w:jc w:val="left"/>
        <w:rPr>
          <w:rFonts w:hint="eastAsia" w:ascii="宋体" w:hAnsi="宋体" w:cs="宋体"/>
          <w:bCs/>
          <w:color w:val="000000" w:themeColor="text1"/>
          <w:sz w:val="28"/>
        </w:rPr>
      </w:pPr>
      <w:r>
        <w:rPr>
          <w:rFonts w:hint="eastAsia" w:ascii="宋体" w:hAnsi="宋体" w:cs="宋体"/>
          <w:bCs/>
          <w:color w:val="000000" w:themeColor="text1"/>
          <w:sz w:val="28"/>
        </w:rPr>
        <w:t>2、型号/技术规格、供货数量：</w:t>
      </w:r>
      <w:r>
        <w:rPr>
          <w:rFonts w:hint="eastAsia" w:ascii="宋体" w:hAnsi="宋体" w:cs="宋体"/>
          <w:bCs/>
          <w:color w:val="000000" w:themeColor="text1"/>
          <w:sz w:val="28"/>
          <w:szCs w:val="22"/>
          <w:lang w:val="en-US" w:eastAsia="zh-CN"/>
        </w:rPr>
        <w:t>综合型号</w:t>
      </w:r>
      <w:r>
        <w:rPr>
          <w:rFonts w:hint="eastAsia" w:ascii="宋体" w:hAnsi="宋体" w:eastAsia="宋体" w:cs="宋体"/>
          <w:bCs/>
          <w:color w:val="000000" w:themeColor="text1"/>
          <w:sz w:val="28"/>
          <w:szCs w:val="22"/>
          <w:lang w:val="en-US" w:eastAsia="zh-CN"/>
        </w:rPr>
        <w:t>钢材。</w:t>
      </w:r>
      <w:r>
        <w:rPr>
          <w:rFonts w:hint="eastAsia" w:ascii="宋体" w:hAnsi="宋体" w:cs="宋体"/>
          <w:bCs/>
          <w:color w:val="000000" w:themeColor="text1"/>
          <w:sz w:val="28"/>
        </w:rPr>
        <w:t>共</w:t>
      </w:r>
      <w:r>
        <w:rPr>
          <w:rFonts w:hint="eastAsia" w:ascii="宋体" w:hAnsi="宋体" w:cs="宋体"/>
          <w:bCs/>
          <w:color w:val="000000" w:themeColor="text1"/>
          <w:sz w:val="28"/>
          <w:lang w:val="en-US" w:eastAsia="zh-CN"/>
        </w:rPr>
        <w:t>计约3200T</w:t>
      </w:r>
      <w:r>
        <w:rPr>
          <w:rFonts w:hint="eastAsia" w:ascii="宋体" w:hAnsi="宋体" w:cs="宋体"/>
          <w:bCs/>
          <w:color w:val="000000" w:themeColor="text1"/>
          <w:sz w:val="28"/>
        </w:rPr>
        <w: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10</w:t>
      </w:r>
      <w:r>
        <w:rPr>
          <w:rFonts w:hint="eastAsia" w:ascii="宋体" w:hAnsi="宋体" w:cs="宋体"/>
          <w:bCs/>
          <w:color w:val="000000" w:themeColor="text1"/>
          <w:sz w:val="28"/>
        </w:rPr>
        <w:t>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cs="宋体"/>
          <w:bCs/>
          <w:color w:val="000000" w:themeColor="text1"/>
          <w:sz w:val="28"/>
          <w:lang w:eastAsia="zh-CN"/>
        </w:rPr>
        <w:t>重庆市大足区龙水镇龙水二小旁</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2021年1月19日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19</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bCs/>
                <w:sz w:val="21"/>
                <w:szCs w:val="21"/>
                <w:u w:val="none"/>
                <w:lang w:val="en-US" w:eastAsia="zh-CN"/>
              </w:rPr>
              <w:t>龙水镇文化广场安置还房（幸湖佳苑）工程一期</w:t>
            </w:r>
            <w:r>
              <w:rPr>
                <w:rFonts w:hint="eastAsia" w:asciiTheme="minorEastAsia" w:hAnsiTheme="minorEastAsia" w:eastAsiaTheme="minorEastAsia"/>
                <w:szCs w:val="21"/>
              </w:rPr>
              <w:t xml:space="preserve">          </w:t>
            </w:r>
          </w:p>
          <w:p>
            <w:pPr>
              <w:tabs>
                <w:tab w:val="right" w:pos="8674"/>
              </w:tabs>
              <w:snapToGrid w:val="0"/>
              <w:spacing w:line="240" w:lineRule="auto"/>
              <w:jc w:val="left"/>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bCs/>
                <w:color w:val="000000" w:themeColor="text1"/>
                <w:sz w:val="21"/>
                <w:szCs w:val="21"/>
                <w:u w:val="single"/>
                <w:lang w:eastAsia="zh-CN"/>
              </w:rPr>
              <w:t>重庆市大足区龙水镇龙水二小旁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rPr>
                <w:rFonts w:ascii="宋体" w:hAnsi="宋体" w:cs="宋体"/>
                <w:color w:val="000000" w:themeColor="text1"/>
                <w:szCs w:val="21"/>
              </w:rPr>
            </w:pPr>
            <w:r>
              <w:rPr>
                <w:rFonts w:hint="eastAsia" w:cs="Times New Roman" w:asciiTheme="minorEastAsia" w:hAnsiTheme="minorEastAsia" w:eastAsiaTheme="minorEastAsia"/>
                <w:sz w:val="21"/>
                <w:szCs w:val="21"/>
                <w:lang w:val="en-US" w:eastAsia="zh-CN"/>
              </w:rPr>
              <w:t>综合型号钢材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Theme="minorEastAsia" w:hAnsiTheme="minorEastAsia" w:eastAsiaTheme="minorEastAsia"/>
                <w:szCs w:val="21"/>
              </w:rPr>
              <w:t>共计</w:t>
            </w:r>
            <w:r>
              <w:rPr>
                <w:rFonts w:hint="eastAsia" w:asciiTheme="minorEastAsia" w:hAnsiTheme="minorEastAsia" w:eastAsiaTheme="minorEastAsia"/>
                <w:szCs w:val="21"/>
                <w:lang w:val="en-US" w:eastAsia="zh-CN"/>
              </w:rPr>
              <w:t>3200T</w:t>
            </w:r>
            <w:r>
              <w:rPr>
                <w:rFonts w:hint="eastAsia" w:ascii="宋体" w:hAnsi="宋体" w:cs="宋体"/>
                <w:color w:val="000000" w:themeColor="text1"/>
                <w:szCs w:val="21"/>
              </w:rPr>
              <w:t xml:space="preserve"> , 供货时间</w:t>
            </w:r>
            <w:r>
              <w:rPr>
                <w:rFonts w:hint="eastAsia" w:ascii="宋体" w:hAnsi="宋体" w:cs="宋体"/>
                <w:bCs w:val="0"/>
                <w:color w:val="000000" w:themeColor="text1"/>
                <w:sz w:val="21"/>
                <w:szCs w:val="21"/>
              </w:rPr>
              <w:t>暂定</w:t>
            </w:r>
            <w:r>
              <w:rPr>
                <w:rFonts w:hint="eastAsia" w:ascii="宋体" w:hAnsi="宋体" w:cs="宋体"/>
                <w:bCs w:val="0"/>
                <w:color w:val="000000" w:themeColor="text1"/>
                <w:sz w:val="21"/>
                <w:szCs w:val="21"/>
                <w:lang w:val="en-US" w:eastAsia="zh-CN"/>
              </w:rPr>
              <w:t>10</w:t>
            </w:r>
            <w:r>
              <w:rPr>
                <w:rFonts w:hint="eastAsia" w:ascii="宋体" w:hAnsi="宋体" w:cs="宋体"/>
                <w:bCs w:val="0"/>
                <w:color w:val="000000" w:themeColor="text1"/>
                <w:sz w:val="2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2）营业执照经营范围包含销售</w:t>
            </w:r>
            <w:r>
              <w:rPr>
                <w:rFonts w:hint="eastAsia" w:cs="Times New Roman" w:asciiTheme="minorEastAsia" w:hAnsiTheme="minorEastAsia" w:eastAsiaTheme="minorEastAsia"/>
                <w:color w:val="auto"/>
                <w:szCs w:val="21"/>
                <w:u w:val="none"/>
              </w:rPr>
              <w:t>建材或</w:t>
            </w:r>
            <w:r>
              <w:rPr>
                <w:rFonts w:hint="eastAsia" w:cs="Times New Roman" w:asciiTheme="minorEastAsia" w:hAnsiTheme="minorEastAsia" w:eastAsiaTheme="minorEastAsia"/>
                <w:color w:val="auto"/>
                <w:szCs w:val="21"/>
                <w:u w:val="none"/>
                <w:lang w:val="en-US" w:eastAsia="zh-CN"/>
              </w:rPr>
              <w:t>钢材</w:t>
            </w:r>
            <w:r>
              <w:rPr>
                <w:rFonts w:hint="eastAsia" w:cs="Times New Roman" w:asciiTheme="minorEastAsia" w:hAnsiTheme="minorEastAsia" w:eastAsiaTheme="minorEastAsia"/>
                <w:color w:val="auto"/>
                <w:szCs w:val="21"/>
                <w:u w:val="none"/>
              </w:rPr>
              <w:t>相关范围</w:t>
            </w:r>
            <w:r>
              <w:rPr>
                <w:rFonts w:hint="eastAsia" w:asciiTheme="minorEastAsia" w:hAnsiTheme="minorEastAsia" w:eastAsiaTheme="minorEastAsia"/>
                <w:szCs w:val="21"/>
              </w:rPr>
              <w:t>。</w:t>
            </w:r>
          </w:p>
          <w:p>
            <w:pPr>
              <w:snapToGrid w:val="0"/>
              <w:spacing w:line="360" w:lineRule="auto"/>
              <w:jc w:val="left"/>
              <w:rPr>
                <w:rFonts w:hint="eastAsia" w:asciiTheme="minorEastAsia" w:hAnsiTheme="minorEastAsia" w:eastAsiaTheme="minorEastAsia"/>
                <w:szCs w:val="21"/>
              </w:rPr>
            </w:pPr>
            <w:r>
              <w:rPr>
                <w:rFonts w:hint="eastAsia" w:cs="Times New Roman" w:asciiTheme="minorEastAsia" w:hAnsiTheme="minorEastAsia" w:eastAsiaTheme="minorEastAsia"/>
                <w:color w:val="auto"/>
                <w:sz w:val="21"/>
                <w:szCs w:val="21"/>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hint="eastAsia" w:ascii="宋体" w:hAnsi="宋体" w:cs="宋体" w:eastAsiaTheme="minorEastAsia"/>
                <w:color w:val="000000" w:themeColor="text1"/>
                <w:szCs w:val="21"/>
                <w:lang w:eastAsia="zh-CN"/>
              </w:rPr>
            </w:pPr>
            <w:r>
              <w:rPr>
                <w:rFonts w:hint="eastAsia" w:asciiTheme="minorEastAsia" w:hAnsiTheme="minorEastAsia" w:eastAsiaTheme="minorEastAsia"/>
                <w:color w:val="0000FF"/>
                <w:szCs w:val="21"/>
                <w:lang w:val="en-US" w:eastAsia="zh-CN"/>
              </w:rPr>
              <w:t>以送货当日前一天我的钢铁网重庆挂网价+200元/T作为限价，暂定合计</w:t>
            </w:r>
            <w:r>
              <w:rPr>
                <w:rFonts w:hint="eastAsia" w:asciiTheme="minorEastAsia" w:hAnsiTheme="minorEastAsia" w:eastAsiaTheme="minorEastAsia"/>
                <w:sz w:val="21"/>
                <w:szCs w:val="21"/>
              </w:rPr>
              <w:t>1504</w:t>
            </w:r>
            <w:r>
              <w:rPr>
                <w:rFonts w:hint="eastAsia" w:asciiTheme="minorEastAsia" w:hAnsiTheme="minorEastAsia" w:eastAsiaTheme="minorEastAsia"/>
                <w:sz w:val="21"/>
                <w:szCs w:val="21"/>
                <w:lang w:val="en-US" w:eastAsia="zh-CN"/>
              </w:rPr>
              <w:t>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color w:val="000000" w:themeColor="text1"/>
                <w:szCs w:val="21"/>
                <w:highlight w:val="none"/>
                <w:u w:val="none"/>
              </w:rPr>
            </w:pPr>
            <w:r>
              <w:rPr>
                <w:rFonts w:hint="eastAsia" w:ascii="宋体" w:hAnsi="宋体" w:eastAsia="宋体" w:cs="宋体"/>
                <w:color w:val="000000" w:themeColor="text1"/>
                <w:sz w:val="21"/>
                <w:szCs w:val="21"/>
                <w:lang w:val="en-US" w:eastAsia="zh-CN"/>
              </w:rPr>
              <w:t>钢材到现场验收合格后，甲方按实际到场量过磅，双方于到货当日按到货当日实际到场验收合格的量进行对账，甲方在收到乙方开具的符合要求的全额增值税专用发票后，于对账后15天之内100%付清该次对账金额（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rPr>
            </w:pPr>
            <w:r>
              <w:rPr>
                <w:rFonts w:hint="eastAsia" w:ascii="宋体" w:hAnsi="宋体" w:eastAsia="宋体" w:cs="宋体"/>
                <w:color w:val="000000" w:themeColor="text1"/>
                <w:sz w:val="21"/>
                <w:szCs w:val="21"/>
                <w:lang w:val="en-US" w:eastAsia="zh-CN"/>
              </w:rPr>
              <w:t>甲方按实际到场量过磅</w:t>
            </w:r>
            <w:r>
              <w:rPr>
                <w:rFonts w:hint="eastAsia" w:ascii="宋体" w:hAnsi="宋体" w:cs="宋体"/>
                <w:color w:val="000000" w:themeColor="text1"/>
                <w:sz w:val="21"/>
                <w:szCs w:val="21"/>
                <w:lang w:val="en-US" w:eastAsia="zh-CN"/>
              </w:rPr>
              <w:t>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21</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val="en-US"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w:t>
            </w:r>
            <w:r>
              <w:rPr>
                <w:rFonts w:hint="eastAsia" w:ascii="宋体" w:hAnsi="宋体" w:cs="宋体"/>
                <w:color w:val="000000" w:themeColor="text1"/>
                <w:u w:val="single"/>
              </w:rPr>
              <w:t>建材或</w:t>
            </w:r>
            <w:r>
              <w:rPr>
                <w:rFonts w:hint="eastAsia" w:ascii="宋体" w:hAnsi="宋体" w:cs="宋体"/>
                <w:color w:val="000000" w:themeColor="text1"/>
                <w:u w:val="single"/>
                <w:lang w:val="en-US" w:eastAsia="zh-CN"/>
              </w:rPr>
              <w:t>钢材</w:t>
            </w:r>
            <w:r>
              <w:rPr>
                <w:rFonts w:hint="eastAsia" w:ascii="宋体" w:hAnsi="宋体" w:cs="宋体"/>
                <w:color w:val="000000" w:themeColor="text1"/>
                <w:u w:val="single"/>
              </w:rPr>
              <w:t>相关范围</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71877701"/>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35964"/>
      <w:bookmarkEnd w:id="5"/>
      <w:bookmarkStart w:id="6" w:name="_Hlt42923257"/>
      <w:bookmarkEnd w:id="6"/>
      <w:bookmarkStart w:id="7" w:name="_Toc50864444"/>
      <w:bookmarkStart w:id="8" w:name="_Toc35342046"/>
      <w:bookmarkStart w:id="9" w:name="_Toc91392962"/>
      <w:bookmarkStart w:id="10" w:name="_Toc123786890"/>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rPr>
          <w:color w:val="auto"/>
        </w:rPr>
      </w:pPr>
    </w:p>
    <w:p>
      <w:pPr>
        <w:widowControl/>
        <w:ind w:firstLine="2409" w:firstLineChars="800"/>
        <w:jc w:val="left"/>
        <w:rPr>
          <w:rFonts w:ascii="宋体" w:cs="宋体"/>
          <w:b/>
          <w:color w:val="000000"/>
          <w:sz w:val="44"/>
          <w:szCs w:val="44"/>
          <w:u w:val="single"/>
        </w:rPr>
      </w:pPr>
      <w:r>
        <w:rPr>
          <w:rFonts w:hint="eastAsia" w:ascii="宋体" w:cs="宋体"/>
          <w:b/>
          <w:sz w:val="30"/>
          <w:lang w:val="en-US" w:eastAsia="zh-CN"/>
        </w:rPr>
        <w:t xml:space="preserve">    </w:t>
      </w: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lang w:val="en-US" w:eastAsia="zh-CN"/>
        </w:rPr>
        <w:t>龙水镇文化广场安置还房（幸湖佳苑）工程一期</w:t>
      </w:r>
    </w:p>
    <w:p>
      <w:pPr>
        <w:spacing w:line="560" w:lineRule="exact"/>
        <w:jc w:val="center"/>
        <w:rPr>
          <w:b/>
          <w:bCs/>
          <w:sz w:val="44"/>
          <w:szCs w:val="44"/>
        </w:rPr>
      </w:pPr>
      <w:r>
        <w:rPr>
          <w:rFonts w:hint="eastAsia"/>
          <w:b/>
          <w:bCs/>
          <w:sz w:val="44"/>
          <w:szCs w:val="44"/>
          <w:lang w:val="en-US" w:eastAsia="zh-CN"/>
        </w:rPr>
        <w:t>钢材</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2020</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龙水镇文化广场安置还房（幸湖佳苑）工程一期钢材采购</w:t>
      </w:r>
      <w:r>
        <w:rPr>
          <w:rFonts w:hint="eastAsia" w:ascii="宋体" w:hAnsi="宋体" w:cs="宋体"/>
          <w:bCs/>
          <w:sz w:val="28"/>
          <w:u w:val="single"/>
        </w:rPr>
        <w:t xml:space="preserve"> </w:t>
      </w:r>
      <w:r>
        <w:rPr>
          <w:rFonts w:hint="eastAsia" w:ascii="宋体" w:hAnsi="宋体" w:cs="宋体"/>
          <w:sz w:val="28"/>
          <w:szCs w:val="28"/>
        </w:rPr>
        <w:t>（项目名称）招采文件的全部内容，愿意以送货当日前一天我的钢铁网</w:t>
      </w:r>
      <w:r>
        <w:rPr>
          <w:rFonts w:hint="eastAsia" w:ascii="宋体" w:hAnsi="宋体" w:cs="宋体"/>
          <w:sz w:val="28"/>
          <w:szCs w:val="28"/>
          <w:lang w:val="en-US" w:eastAsia="zh-CN"/>
        </w:rPr>
        <w:t>重庆</w:t>
      </w:r>
      <w:r>
        <w:rPr>
          <w:rFonts w:hint="eastAsia" w:ascii="宋体" w:hAnsi="宋体" w:cs="宋体"/>
          <w:sz w:val="28"/>
          <w:szCs w:val="28"/>
        </w:rPr>
        <w:t>挂网价+</w:t>
      </w:r>
      <w:r>
        <w:rPr>
          <w:rFonts w:hint="eastAsia" w:ascii="宋体" w:hAnsi="宋体" w:cs="宋体"/>
          <w:sz w:val="28"/>
          <w:szCs w:val="28"/>
          <w:lang w:val="en-US" w:eastAsia="zh-CN"/>
        </w:rPr>
        <w:t xml:space="preserve">   </w:t>
      </w:r>
      <w:r>
        <w:rPr>
          <w:rFonts w:hint="eastAsia" w:ascii="宋体" w:hAnsi="宋体" w:cs="宋体"/>
          <w:sz w:val="28"/>
          <w:szCs w:val="28"/>
        </w:rPr>
        <w:t>元</w:t>
      </w:r>
      <w:r>
        <w:rPr>
          <w:rFonts w:hint="eastAsia" w:ascii="宋体" w:hAnsi="宋体" w:cs="宋体"/>
          <w:sz w:val="28"/>
          <w:szCs w:val="28"/>
          <w:lang w:val="en-US" w:eastAsia="zh-CN"/>
        </w:rPr>
        <w:t>/T</w:t>
      </w:r>
      <w:r>
        <w:rPr>
          <w:rFonts w:hint="eastAsia" w:ascii="宋体" w:hAnsi="宋体" w:cs="宋体"/>
          <w:sz w:val="28"/>
          <w:szCs w:val="28"/>
        </w:rPr>
        <w:t>的投标</w:t>
      </w:r>
      <w:r>
        <w:rPr>
          <w:rFonts w:hint="eastAsia" w:ascii="宋体" w:hAnsi="宋体" w:cs="宋体"/>
          <w:sz w:val="28"/>
          <w:szCs w:val="28"/>
          <w:lang w:eastAsia="zh-CN"/>
        </w:rPr>
        <w:t>单</w:t>
      </w:r>
      <w:r>
        <w:rPr>
          <w:rFonts w:hint="eastAsia" w:ascii="宋体" w:hAnsi="宋体" w:cs="宋体"/>
          <w:sz w:val="28"/>
          <w:szCs w:val="28"/>
        </w:rPr>
        <w:t>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2020</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26066260"/>
      <w:bookmarkStart w:id="14" w:name="_Toc500861027"/>
      <w:bookmarkStart w:id="15" w:name="_Toc6397151"/>
      <w:bookmarkStart w:id="16" w:name="_Toc65998016"/>
      <w:bookmarkStart w:id="17" w:name="_Toc491658680"/>
      <w:bookmarkStart w:id="18" w:name="_Toc6727972"/>
      <w:bookmarkStart w:id="19" w:name="_Toc9077959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龙水镇文化广场安置还房（幸湖佳苑）工程一期钢材采购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2020</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龙水镇文化广场安置还房（幸湖佳苑）工程一期钢材</w:t>
      </w:r>
      <w:r>
        <w:rPr>
          <w:rFonts w:hint="eastAsia" w:ascii="宋体" w:hAnsi="宋体" w:cs="宋体"/>
          <w:bCs/>
          <w:sz w:val="28"/>
          <w:u w:val="single"/>
          <w:lang w:eastAsia="zh-CN"/>
        </w:rPr>
        <w:t>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2020</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7"/>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11"/>
        <w:gridCol w:w="1064"/>
        <w:gridCol w:w="425"/>
        <w:gridCol w:w="1272"/>
        <w:gridCol w:w="1204"/>
        <w:gridCol w:w="1302"/>
        <w:gridCol w:w="913"/>
        <w:gridCol w:w="97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1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06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42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27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506"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8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0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11"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06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42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27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204"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302"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暂定</w:t>
            </w:r>
            <w:r>
              <w:rPr>
                <w:rFonts w:hint="eastAsia" w:asciiTheme="minorEastAsia" w:hAnsiTheme="minorEastAsia" w:eastAsiaTheme="minorEastAsia" w:cstheme="minorEastAsia"/>
                <w:sz w:val="24"/>
                <w:szCs w:val="24"/>
                <w:highlight w:val="none"/>
              </w:rPr>
              <w:t>合价</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0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1</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olor w:val="000000"/>
                <w:sz w:val="24"/>
                <w:szCs w:val="24"/>
                <w:highlight w:val="none"/>
                <w:lang w:val="en-US" w:eastAsia="zh-CN"/>
              </w:rPr>
              <w:t>钢材</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olor w:val="000000"/>
                <w:sz w:val="24"/>
                <w:szCs w:val="24"/>
                <w:highlight w:val="none"/>
                <w:lang w:val="en-US" w:eastAsia="zh-CN"/>
              </w:rPr>
              <w:t>综合</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cs="仿宋" w:asciiTheme="minorEastAsia" w:hAnsiTheme="minorEastAsia" w:eastAsiaTheme="minorEastAsia"/>
                <w:bCs/>
                <w:kern w:val="0"/>
                <w:sz w:val="24"/>
                <w:szCs w:val="24"/>
                <w:highlight w:val="none"/>
                <w:lang w:val="en-US" w:eastAsia="zh-CN"/>
              </w:rPr>
              <w:t>T</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24"/>
                <w:szCs w:val="24"/>
                <w:highlight w:val="none"/>
                <w:lang w:val="en-US"/>
              </w:rPr>
            </w:pPr>
            <w:r>
              <w:rPr>
                <w:rFonts w:hint="eastAsia" w:cs="Arial" w:asciiTheme="minorEastAsia" w:hAnsiTheme="minorEastAsia" w:eastAsiaTheme="minorEastAsia"/>
                <w:color w:val="000000"/>
                <w:sz w:val="24"/>
                <w:szCs w:val="24"/>
                <w:highlight w:val="none"/>
                <w:lang w:val="en-US" w:eastAsia="zh-CN"/>
              </w:rPr>
              <w:t>3200</w:t>
            </w:r>
          </w:p>
        </w:tc>
        <w:tc>
          <w:tcPr>
            <w:tcW w:w="1204" w:type="dxa"/>
            <w:tcBorders>
              <w:top w:val="single" w:color="auto" w:sz="4" w:space="0"/>
              <w:left w:val="single" w:color="auto" w:sz="4" w:space="0"/>
            </w:tcBorders>
            <w:shd w:val="clear" w:color="auto" w:fill="auto"/>
            <w:vAlign w:val="center"/>
          </w:tcPr>
          <w:p>
            <w:pPr>
              <w:widowControl/>
              <w:jc w:val="center"/>
              <w:textAlignment w:val="center"/>
              <w:rPr>
                <w:rFonts w:hint="default" w:ascii="Times New Roman" w:hAnsi="Times New Roman"/>
                <w:sz w:val="24"/>
                <w:highlight w:val="none"/>
                <w:lang w:val="en-US"/>
              </w:rPr>
            </w:pPr>
            <w:r>
              <w:rPr>
                <w:rFonts w:hint="eastAsia" w:cs="Arial" w:asciiTheme="minorEastAsia" w:hAnsiTheme="minorEastAsia" w:eastAsiaTheme="minorEastAsia"/>
                <w:color w:val="000000"/>
                <w:sz w:val="24"/>
                <w:szCs w:val="24"/>
                <w:highlight w:val="none"/>
                <w:lang w:val="en-US" w:eastAsia="zh-CN"/>
              </w:rPr>
              <w:t>送货当日前一天我的钢铁网重庆挂网价+200元/T</w:t>
            </w:r>
          </w:p>
        </w:tc>
        <w:tc>
          <w:tcPr>
            <w:tcW w:w="1302" w:type="dxa"/>
            <w:tcBorders>
              <w:top w:val="single" w:color="auto" w:sz="4" w:space="0"/>
              <w:left w:val="single" w:color="auto" w:sz="4" w:space="0"/>
            </w:tcBorders>
            <w:shd w:val="clear" w:color="auto" w:fill="auto"/>
            <w:vAlign w:val="center"/>
          </w:tcPr>
          <w:p>
            <w:pPr>
              <w:widowControl/>
              <w:jc w:val="center"/>
              <w:textAlignment w:val="center"/>
              <w:rPr>
                <w:rFonts w:ascii="Times New Roman" w:hAnsi="Times New Roman"/>
                <w:sz w:val="24"/>
                <w:highlight w:val="none"/>
              </w:rPr>
            </w:pPr>
            <w:r>
              <w:rPr>
                <w:rFonts w:hint="eastAsia" w:asciiTheme="minorEastAsia" w:hAnsiTheme="minorEastAsia" w:eastAsiaTheme="minorEastAsia"/>
                <w:sz w:val="21"/>
                <w:szCs w:val="21"/>
              </w:rPr>
              <w:t>15040000.00</w:t>
            </w:r>
          </w:p>
        </w:tc>
        <w:tc>
          <w:tcPr>
            <w:tcW w:w="91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top w:val="single" w:color="auto" w:sz="4" w:space="0"/>
              <w:left w:val="single" w:color="auto" w:sz="4" w:space="0"/>
            </w:tcBorders>
            <w:shd w:val="clear" w:color="auto" w:fill="auto"/>
            <w:vAlign w:val="center"/>
          </w:tcPr>
          <w:p>
            <w:pPr>
              <w:spacing w:line="400" w:lineRule="exact"/>
              <w:jc w:val="cente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57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lang w:eastAsia="zh-CN"/>
              </w:rPr>
              <w:t>暂定</w:t>
            </w:r>
            <w:r>
              <w:rPr>
                <w:rFonts w:hint="eastAsia" w:ascii="Times New Roman" w:hAnsi="Times New Roman" w:cs="宋体"/>
                <w:sz w:val="24"/>
                <w:highlight w:val="none"/>
              </w:rPr>
              <w:t>合计（元）</w:t>
            </w:r>
          </w:p>
        </w:tc>
        <w:tc>
          <w:tcPr>
            <w:tcW w:w="2506" w:type="dxa"/>
            <w:gridSpan w:val="2"/>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r>
              <w:rPr>
                <w:rFonts w:hint="eastAsia" w:asciiTheme="minorEastAsia" w:hAnsiTheme="minorEastAsia" w:eastAsiaTheme="minorEastAsia"/>
                <w:sz w:val="21"/>
                <w:szCs w:val="21"/>
              </w:rPr>
              <w:t>15040000.00</w:t>
            </w:r>
          </w:p>
        </w:tc>
        <w:tc>
          <w:tcPr>
            <w:tcW w:w="188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0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widowControl/>
        <w:numPr>
          <w:ilvl w:val="255"/>
          <w:numId w:val="0"/>
        </w:numPr>
        <w:jc w:val="center"/>
        <w:outlineLvl w:val="4"/>
        <w:rPr>
          <w:rFonts w:ascii="宋体" w:hAnsi="宋体" w:cs="宋体"/>
          <w:b/>
          <w:sz w:val="28"/>
          <w:szCs w:val="28"/>
          <w:highlight w:val="none"/>
        </w:rPr>
      </w:pPr>
      <w:r>
        <w:rPr>
          <w:rFonts w:ascii="宋体" w:hAnsi="宋体" w:cs="宋体"/>
          <w:b/>
          <w:sz w:val="24"/>
          <w:szCs w:val="24"/>
          <w:highlight w:val="none"/>
        </w:rPr>
        <w:t>单位：元</w:t>
      </w: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kern w:val="0"/>
          <w:sz w:val="24"/>
          <w:szCs w:val="24"/>
          <w:highlight w:val="none"/>
        </w:rPr>
        <w:t>单价包含</w:t>
      </w:r>
      <w:r>
        <w:rPr>
          <w:rFonts w:hint="eastAsia" w:ascii="Times New Roman" w:hAnsi="Times New Roman"/>
          <w:kern w:val="0"/>
          <w:sz w:val="24"/>
          <w:szCs w:val="24"/>
          <w:highlight w:val="none"/>
          <w:lang w:eastAsia="zh-CN"/>
        </w:rPr>
        <w:t>材料费、吊装费、</w:t>
      </w:r>
      <w:r>
        <w:rPr>
          <w:rFonts w:hint="eastAsia" w:ascii="Times New Roman" w:hAnsi="Times New Roman"/>
          <w:kern w:val="0"/>
          <w:sz w:val="24"/>
          <w:szCs w:val="24"/>
          <w:highlight w:val="none"/>
        </w:rPr>
        <w:t>运输费、税率</w:t>
      </w:r>
      <w:r>
        <w:rPr>
          <w:rFonts w:ascii="Times New Roman" w:hAnsi="Times New Roman"/>
          <w:kern w:val="0"/>
          <w:sz w:val="24"/>
          <w:szCs w:val="24"/>
          <w:highlight w:val="none"/>
        </w:rPr>
        <w:t xml:space="preserve"> 13 </w:t>
      </w:r>
      <w:r>
        <w:rPr>
          <w:rFonts w:hint="eastAsia" w:ascii="Times New Roman" w:hAnsi="Times New Roman"/>
          <w:kern w:val="0"/>
          <w:sz w:val="24"/>
          <w:szCs w:val="24"/>
          <w:highlight w:val="none"/>
        </w:rPr>
        <w:t>%的税金。</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2020</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lang w:val="en-US" w:eastAsia="zh-CN"/>
        </w:rPr>
        <w:t>龙水镇文化广场安置还房（幸湖佳苑）工程一期</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钢材</w:t>
      </w:r>
      <w:r>
        <w:rPr>
          <w:rFonts w:hint="eastAsia" w:ascii="黑体" w:hAnsi="宋体" w:eastAsia="黑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2020</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24E0A"/>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470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E3365A1"/>
    <w:rsid w:val="0F04372B"/>
    <w:rsid w:val="10F76636"/>
    <w:rsid w:val="1783596C"/>
    <w:rsid w:val="196F01D6"/>
    <w:rsid w:val="1B251DB8"/>
    <w:rsid w:val="21940678"/>
    <w:rsid w:val="23BD037B"/>
    <w:rsid w:val="32187EF2"/>
    <w:rsid w:val="333D3E3E"/>
    <w:rsid w:val="35C960DB"/>
    <w:rsid w:val="37F0702D"/>
    <w:rsid w:val="3F337C7B"/>
    <w:rsid w:val="3F4B6539"/>
    <w:rsid w:val="3FE404AA"/>
    <w:rsid w:val="435C17FE"/>
    <w:rsid w:val="45997357"/>
    <w:rsid w:val="4FB913F4"/>
    <w:rsid w:val="50F37175"/>
    <w:rsid w:val="52656AC4"/>
    <w:rsid w:val="52DA4067"/>
    <w:rsid w:val="56B11F2D"/>
    <w:rsid w:val="5C570CD4"/>
    <w:rsid w:val="60280473"/>
    <w:rsid w:val="617E67D5"/>
    <w:rsid w:val="64217E8B"/>
    <w:rsid w:val="681F5DA3"/>
    <w:rsid w:val="68C24E3B"/>
    <w:rsid w:val="6D8F4643"/>
    <w:rsid w:val="6E4614E6"/>
    <w:rsid w:val="6F35522F"/>
    <w:rsid w:val="709E1FAD"/>
    <w:rsid w:val="73EA1E5C"/>
    <w:rsid w:val="768C725F"/>
    <w:rsid w:val="76C86DF1"/>
    <w:rsid w:val="79D83B0C"/>
    <w:rsid w:val="7BFE27D8"/>
    <w:rsid w:val="7C505C4C"/>
    <w:rsid w:val="7C9F49B8"/>
    <w:rsid w:val="7D024A12"/>
    <w:rsid w:val="7EF101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7</TotalTime>
  <ScaleCrop>false</ScaleCrop>
  <LinksUpToDate>false</LinksUpToDate>
  <CharactersWithSpaces>13714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2021-01-18T08:56:46Z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