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28"/>
          <w:szCs w:val="28"/>
          <w:highlight w:val="none"/>
          <w:lang w:val="en-US" w:eastAsia="zh-CN"/>
        </w:rPr>
      </w:pPr>
      <w:r>
        <w:rPr>
          <w:rFonts w:hint="eastAsia" w:ascii="黑体" w:hAnsi="宋体" w:eastAsia="黑体"/>
          <w:b/>
          <w:color w:val="auto"/>
          <w:sz w:val="28"/>
          <w:szCs w:val="28"/>
          <w:highlight w:val="none"/>
          <w:lang w:val="en-US" w:eastAsia="zh-CN"/>
        </w:rPr>
        <w:t>蒲城县城南新区（东区）公共文体服务中心及基础设施建设项目一期工程总承包（EPC）项目开元街</w:t>
      </w:r>
    </w:p>
    <w:p>
      <w:pPr>
        <w:tabs>
          <w:tab w:val="left" w:pos="670"/>
          <w:tab w:val="center" w:pos="4252"/>
        </w:tabs>
        <w:spacing w:line="360" w:lineRule="auto"/>
        <w:jc w:val="center"/>
        <w:rPr>
          <w:rFonts w:hint="eastAsia" w:ascii="黑体" w:hAnsi="宋体" w:eastAsia="黑体"/>
          <w:b/>
          <w:sz w:val="28"/>
          <w:szCs w:val="28"/>
          <w:highlight w:val="none"/>
        </w:rPr>
      </w:pPr>
      <w:r>
        <w:rPr>
          <w:rFonts w:hint="eastAsia" w:ascii="黑体" w:hAnsi="宋体" w:eastAsia="黑体"/>
          <w:b/>
          <w:color w:val="auto"/>
          <w:sz w:val="28"/>
          <w:szCs w:val="28"/>
          <w:highlight w:val="none"/>
          <w:lang w:val="en-US" w:eastAsia="zh-CN"/>
        </w:rPr>
        <w:t>土石方专业分包2</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 xml:space="preserve"> 2021-01-1003</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2021年1月25日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w:t>
      </w:r>
      <w:r>
        <w:rPr>
          <w:rFonts w:hint="eastAsia" w:ascii="宋体" w:hAnsi="宋体" w:eastAsia="宋体" w:cs="宋体"/>
          <w:bCs/>
          <w:sz w:val="28"/>
          <w:szCs w:val="22"/>
          <w:highlight w:val="none"/>
          <w:u w:val="none"/>
        </w:rPr>
        <w:t>就</w:t>
      </w:r>
      <w:r>
        <w:rPr>
          <w:rFonts w:hint="eastAsia" w:ascii="宋体" w:hAnsi="宋体" w:eastAsia="宋体" w:cs="宋体"/>
          <w:bCs/>
          <w:color w:val="auto"/>
          <w:sz w:val="28"/>
          <w:szCs w:val="22"/>
          <w:highlight w:val="none"/>
          <w:u w:val="single"/>
          <w:lang w:val="en-US" w:eastAsia="zh-CN"/>
        </w:rPr>
        <w:t>蒲城县城南新区（东区）公共文体服务中心及基础设施建设项目一期工程总承包（EPC）项目开元街土石方专业分包2</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b w:val="0"/>
          <w:bCs/>
          <w:kern w:val="2"/>
          <w:sz w:val="28"/>
          <w:szCs w:val="22"/>
          <w:u w:val="single"/>
          <w:lang w:val="en-US" w:eastAsia="zh-CN"/>
        </w:rPr>
        <w:t>蒲城县城南新区（东区）公共文体服务中心及基础设施建设项目一期工程总承包（EPC）项目</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lang w:val="en-US" w:eastAsia="zh-CN"/>
        </w:rPr>
        <w:t>2021-01-1003</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cs="宋体"/>
          <w:bCs/>
          <w:color w:val="auto"/>
          <w:kern w:val="2"/>
          <w:sz w:val="28"/>
          <w:u w:val="single"/>
          <w:lang w:val="en-US" w:eastAsia="zh-CN"/>
        </w:rPr>
        <w:t>陕西省蒲城县</w:t>
      </w:r>
      <w:r>
        <w:rPr>
          <w:rFonts w:hint="eastAsia" w:ascii="宋体" w:hAnsi="宋体"/>
          <w:bCs/>
          <w:sz w:val="28"/>
          <w:highlight w:val="none"/>
          <w:u w:val="single"/>
          <w:lang w:val="en-US" w:eastAsia="zh-CN"/>
        </w:rPr>
        <w:t xml:space="preserve"> </w:t>
      </w:r>
      <w:r>
        <w:rPr>
          <w:rFonts w:hint="eastAsia" w:ascii="宋体" w:hAnsi="宋体" w:eastAsia="宋体" w:cs="宋体"/>
          <w:bCs/>
          <w:sz w:val="28"/>
          <w:szCs w:val="22"/>
          <w:highlight w:val="none"/>
        </w:rPr>
        <w:t>。</w:t>
      </w:r>
    </w:p>
    <w:p>
      <w:pPr>
        <w:keepNext w:val="0"/>
        <w:keepLines w:val="0"/>
        <w:pageBreakBefore w:val="0"/>
        <w:widowControl/>
        <w:numPr>
          <w:ilvl w:val="-1"/>
          <w:numId w:val="0"/>
        </w:numPr>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宋体" w:hAnsi="宋体" w:cs="宋体" w:eastAsiaTheme="minorEastAsia"/>
          <w:bCs/>
          <w:color w:val="auto"/>
          <w:sz w:val="28"/>
          <w:szCs w:val="24"/>
          <w:highlight w:val="none"/>
          <w:u w:val="single"/>
          <w:lang w:eastAsia="zh-CN"/>
        </w:rPr>
      </w:pP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bCs/>
          <w:sz w:val="28"/>
          <w:szCs w:val="22"/>
          <w:highlight w:val="none"/>
          <w:u w:val="single"/>
          <w:lang w:eastAsia="zh-CN"/>
        </w:rPr>
        <w:t>。</w:t>
      </w:r>
      <w:r>
        <w:rPr>
          <w:rFonts w:hint="eastAsia" w:ascii="宋体" w:hAnsi="宋体" w:eastAsia="宋体" w:cs="宋体"/>
          <w:bCs/>
          <w:sz w:val="28"/>
          <w:szCs w:val="22"/>
          <w:highlight w:val="none"/>
          <w:u w:val="single"/>
          <w:lang w:val="en-US" w:eastAsia="zh-CN"/>
        </w:rPr>
        <w:t xml:space="preserve"> 4、</w:t>
      </w:r>
      <w:r>
        <w:rPr>
          <w:rFonts w:hint="eastAsia" w:ascii="宋体" w:hAnsi="宋体" w:eastAsia="宋体" w:cs="宋体"/>
          <w:bCs/>
          <w:sz w:val="28"/>
          <w:szCs w:val="22"/>
          <w:highlight w:val="none"/>
          <w:u w:val="single"/>
          <w:lang w:eastAsia="zh-CN"/>
        </w:rPr>
        <w:t>投标人资质要求：</w:t>
      </w:r>
      <w:r>
        <w:rPr>
          <w:rFonts w:hint="eastAsia" w:ascii="宋体" w:hAnsi="宋体" w:cs="宋体"/>
          <w:bCs/>
          <w:color w:val="auto"/>
          <w:kern w:val="2"/>
          <w:sz w:val="28"/>
          <w:highlight w:val="none"/>
          <w:u w:val="single"/>
        </w:rPr>
        <w:t>投标单位必须是重庆对外建设（集团）有限公司合格供方库内单位</w:t>
      </w:r>
      <w:r>
        <w:rPr>
          <w:rFonts w:hint="eastAsia" w:ascii="宋体" w:hAnsi="宋体" w:cs="宋体"/>
          <w:bCs/>
          <w:color w:val="auto"/>
          <w:kern w:val="2"/>
          <w:sz w:val="28"/>
          <w:highlight w:val="none"/>
          <w:u w:val="single"/>
          <w:lang w:eastAsia="zh-CN"/>
        </w:rPr>
        <w:t>，且无失信记录。本次要求投标人具有一定技术实力和管理能力且取得公司法人《营业执照》的企业，近三年完成过类似工程（土石方工程业绩合同复印件）。</w:t>
      </w:r>
      <w:r>
        <w:rPr>
          <w:rFonts w:hint="eastAsia" w:ascii="宋体" w:hAnsi="宋体" w:cs="宋体"/>
          <w:bCs/>
          <w:color w:val="auto"/>
          <w:kern w:val="2"/>
          <w:sz w:val="28"/>
          <w:highlight w:val="none"/>
          <w:u w:val="single"/>
          <w:lang w:val="en-US" w:eastAsia="zh-CN"/>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20</w:t>
      </w:r>
      <w:r>
        <w:rPr>
          <w:rFonts w:hint="eastAsia" w:ascii="宋体" w:hAnsi="宋体" w:eastAsia="宋体" w:cs="宋体"/>
          <w:bCs/>
          <w:sz w:val="28"/>
          <w:szCs w:val="22"/>
          <w:highlight w:val="none"/>
          <w:u w:val="single"/>
          <w:lang w:val="en-US" w:eastAsia="zh-CN"/>
        </w:rPr>
        <w:t>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1</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26</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480" w:lineRule="exact"/>
        <w:ind w:firstLine="560" w:firstLineChars="200"/>
        <w:jc w:val="right"/>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招采人：</w:t>
      </w:r>
      <w:r>
        <w:rPr>
          <w:rFonts w:hint="eastAsia" w:ascii="宋体" w:hAnsi="宋体" w:eastAsia="宋体" w:cs="宋体"/>
          <w:bCs/>
          <w:sz w:val="28"/>
          <w:szCs w:val="22"/>
          <w:highlight w:val="none"/>
          <w:u w:val="none"/>
        </w:rPr>
        <w:t>重庆对外建设（集团）有限公司</w:t>
      </w:r>
    </w:p>
    <w:p>
      <w:pPr>
        <w:snapToGrid w:val="0"/>
        <w:spacing w:line="480" w:lineRule="exact"/>
        <w:ind w:firstLine="560" w:firstLineChars="2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日  期：</w:t>
      </w:r>
      <w:r>
        <w:rPr>
          <w:rFonts w:hint="eastAsia" w:ascii="宋体" w:hAnsi="宋体" w:eastAsia="宋体" w:cs="宋体"/>
          <w:bCs/>
          <w:sz w:val="28"/>
          <w:szCs w:val="22"/>
          <w:highlight w:val="none"/>
          <w:u w:val="none"/>
        </w:rPr>
        <w:t>20</w:t>
      </w:r>
      <w:r>
        <w:rPr>
          <w:rFonts w:hint="eastAsia" w:ascii="宋体" w:hAnsi="宋体" w:eastAsia="宋体" w:cs="宋体"/>
          <w:bCs/>
          <w:sz w:val="28"/>
          <w:szCs w:val="22"/>
          <w:highlight w:val="none"/>
          <w:u w:val="none"/>
          <w:lang w:val="en-US" w:eastAsia="zh-CN"/>
        </w:rPr>
        <w:t>21</w:t>
      </w:r>
      <w:r>
        <w:rPr>
          <w:rFonts w:hint="eastAsia" w:ascii="宋体" w:hAnsi="宋体" w:eastAsia="宋体" w:cs="宋体"/>
          <w:bCs/>
          <w:sz w:val="28"/>
          <w:szCs w:val="22"/>
          <w:highlight w:val="none"/>
          <w:u w:val="none"/>
        </w:rPr>
        <w:t>年</w:t>
      </w:r>
      <w:r>
        <w:rPr>
          <w:rFonts w:hint="eastAsia" w:ascii="宋体" w:hAnsi="宋体" w:eastAsia="宋体" w:cs="宋体"/>
          <w:bCs/>
          <w:sz w:val="28"/>
          <w:szCs w:val="22"/>
          <w:highlight w:val="none"/>
          <w:u w:val="none"/>
          <w:lang w:val="en-US" w:eastAsia="zh-CN"/>
        </w:rPr>
        <w:t>1</w:t>
      </w:r>
      <w:r>
        <w:rPr>
          <w:rFonts w:hint="eastAsia" w:ascii="宋体" w:hAnsi="宋体" w:eastAsia="宋体" w:cs="宋体"/>
          <w:bCs/>
          <w:sz w:val="28"/>
          <w:szCs w:val="22"/>
          <w:highlight w:val="none"/>
          <w:u w:val="none"/>
        </w:rPr>
        <w:t>月</w:t>
      </w:r>
      <w:r>
        <w:rPr>
          <w:rFonts w:hint="eastAsia" w:ascii="宋体" w:hAnsi="宋体" w:eastAsia="宋体" w:cs="宋体"/>
          <w:bCs/>
          <w:sz w:val="28"/>
          <w:szCs w:val="22"/>
          <w:highlight w:val="none"/>
          <w:u w:val="none"/>
          <w:lang w:val="en-US" w:eastAsia="zh-CN"/>
        </w:rPr>
        <w:t>26</w:t>
      </w:r>
      <w:r>
        <w:rPr>
          <w:rFonts w:hint="eastAsia" w:ascii="宋体" w:hAnsi="宋体" w:eastAsia="宋体" w:cs="宋体"/>
          <w:bCs/>
          <w:sz w:val="28"/>
          <w:szCs w:val="22"/>
          <w:highlight w:val="none"/>
          <w:u w:val="none"/>
        </w:rPr>
        <w:t>日</w:t>
      </w:r>
    </w:p>
    <w:p>
      <w:pPr>
        <w:snapToGrid w:val="0"/>
        <w:spacing w:line="480" w:lineRule="exact"/>
        <w:ind w:left="0" w:leftChars="0" w:firstLine="560" w:firstLineChars="2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 xml:space="preserve"> </w:t>
      </w:r>
      <w:r>
        <w:rPr>
          <w:rFonts w:hint="eastAsia" w:ascii="宋体" w:hAnsi="宋体" w:eastAsia="宋体" w:cs="宋体"/>
          <w:bCs/>
          <w:sz w:val="28"/>
          <w:szCs w:val="22"/>
          <w:highlight w:val="none"/>
          <w:lang w:val="en-US" w:eastAsia="zh-CN"/>
        </w:rPr>
        <w:t xml:space="preserve"> </w:t>
      </w:r>
      <w:r>
        <w:rPr>
          <w:rFonts w:hint="eastAsia" w:ascii="宋体" w:hAnsi="宋体" w:eastAsia="宋体" w:cs="宋体"/>
          <w:bCs/>
          <w:sz w:val="28"/>
          <w:szCs w:val="22"/>
          <w:highlight w:val="none"/>
        </w:rPr>
        <w:t>招采联系人：</w:t>
      </w:r>
      <w:r>
        <w:rPr>
          <w:rFonts w:hint="eastAsia" w:ascii="宋体" w:hAnsi="宋体" w:eastAsia="宋体" w:cs="宋体"/>
          <w:bCs/>
          <w:sz w:val="28"/>
          <w:szCs w:val="22"/>
          <w:highlight w:val="none"/>
          <w:u w:val="none"/>
        </w:rPr>
        <w:t>招采部</w:t>
      </w:r>
    </w:p>
    <w:p>
      <w:pPr>
        <w:snapToGrid w:val="0"/>
        <w:spacing w:line="480" w:lineRule="exact"/>
        <w:ind w:firstLine="560" w:firstLineChars="200"/>
        <w:jc w:val="right"/>
        <w:outlineLvl w:val="9"/>
        <w:rPr>
          <w:rFonts w:hint="eastAsia" w:ascii="宋体" w:hAnsi="宋体" w:eastAsia="宋体" w:cs="宋体"/>
          <w:bCs/>
          <w:sz w:val="28"/>
          <w:szCs w:val="22"/>
          <w:highlight w:val="none"/>
          <w:u w:val="none"/>
          <w:lang w:val="en-US" w:eastAsia="zh-CN"/>
        </w:rPr>
      </w:pPr>
      <w:r>
        <w:rPr>
          <w:rFonts w:hint="eastAsia" w:ascii="宋体" w:hAnsi="宋体" w:eastAsia="宋体" w:cs="宋体"/>
          <w:bCs/>
          <w:sz w:val="28"/>
          <w:szCs w:val="22"/>
          <w:highlight w:val="none"/>
        </w:rPr>
        <w:t xml:space="preserve">          联系方式：</w:t>
      </w:r>
      <w:r>
        <w:rPr>
          <w:rFonts w:hint="eastAsia" w:ascii="宋体" w:hAnsi="宋体" w:eastAsia="宋体" w:cs="宋体"/>
          <w:bCs/>
          <w:sz w:val="28"/>
          <w:szCs w:val="22"/>
          <w:highlight w:val="none"/>
          <w:u w:val="none"/>
        </w:rPr>
        <w:t xml:space="preserve">023-63076532 </w:t>
      </w:r>
      <w:r>
        <w:rPr>
          <w:rFonts w:hint="eastAsia" w:ascii="宋体" w:hAnsi="宋体" w:eastAsia="宋体" w:cs="宋体"/>
          <w:bCs/>
          <w:sz w:val="28"/>
          <w:szCs w:val="22"/>
          <w:highlight w:val="none"/>
          <w:u w:val="none"/>
          <w:lang w:val="en-US" w:eastAsia="zh-CN"/>
        </w:rPr>
        <w:t xml:space="preserve"> </w:t>
      </w:r>
    </w:p>
    <w:p>
      <w:pPr>
        <w:snapToGrid w:val="0"/>
        <w:spacing w:line="480" w:lineRule="exact"/>
        <w:ind w:firstLine="560" w:firstLineChars="200"/>
        <w:jc w:val="right"/>
        <w:outlineLvl w:val="9"/>
        <w:rPr>
          <w:rFonts w:hint="eastAsia" w:ascii="宋体" w:hAnsi="宋体" w:eastAsia="宋体" w:cs="宋体"/>
          <w:bCs/>
          <w:sz w:val="28"/>
          <w:szCs w:val="22"/>
          <w:highlight w:val="none"/>
          <w:u w:val="none"/>
          <w:lang w:val="en-US" w:eastAsia="zh-CN"/>
        </w:rPr>
      </w:pPr>
    </w:p>
    <w:p>
      <w:pPr>
        <w:snapToGrid w:val="0"/>
        <w:spacing w:line="480" w:lineRule="exact"/>
        <w:ind w:firstLine="602" w:firstLineChars="200"/>
        <w:jc w:val="center"/>
        <w:outlineLvl w:val="9"/>
        <w:rPr>
          <w:rFonts w:ascii="宋体" w:hAnsi="宋体" w:eastAsia="宋体" w:cs="宋体"/>
          <w:b/>
          <w:sz w:val="30"/>
          <w:szCs w:val="22"/>
          <w:highlight w:val="none"/>
        </w:rPr>
      </w:pPr>
      <w:r>
        <w:rPr>
          <w:rFonts w:hint="eastAsia" w:ascii="宋体" w:hAnsi="宋体" w:eastAsia="宋体" w:cs="宋体"/>
          <w:b/>
          <w:sz w:val="30"/>
          <w:szCs w:val="22"/>
          <w:highlight w:val="none"/>
        </w:rPr>
        <w:t>第二部分   投标人须知前附表</w:t>
      </w:r>
    </w:p>
    <w:tbl>
      <w:tblPr>
        <w:tblStyle w:val="12"/>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szCs w:val="21"/>
                <w:lang w:val="en-US" w:eastAsia="zh-CN"/>
              </w:rPr>
              <w:t>蒲城县城南新区（东区）公共文体服务中心及基础设施建设项目一期工程总承包（EPC）项目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szCs w:val="21"/>
                <w:lang w:val="en-US" w:eastAsia="zh-CN"/>
              </w:rPr>
              <w:t>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sz w:val="24"/>
                <w:highlight w:val="none"/>
                <w:lang w:eastAsia="zh-CN"/>
              </w:rPr>
            </w:pPr>
            <w:r>
              <w:rPr>
                <w:rFonts w:hint="eastAsia" w:ascii="宋体" w:hAnsi="宋体" w:cs="宋体" w:eastAsiaTheme="minorEastAsia"/>
                <w:color w:val="000000"/>
                <w:sz w:val="21"/>
                <w:szCs w:val="21"/>
                <w:highlight w:val="none"/>
                <w:lang w:val="en-US" w:eastAsia="zh-CN"/>
              </w:rPr>
              <w:t>蒲城县城南新区（东区）公共文体服务中心及基础设施建设项目一期工程总承包（EPC）项目主要工程内容包括：一场（体育场）、两馆（体育馆、游泳馆）及周边基础配套设施。其中体育 场，总建筑面积约55000平方米，约容纳3万人；体育馆，总建筑面积约15000平方米，规划 设计约3000座；游泳馆，总建筑面积约M000平方米，规划设计约1500座。釆购通风系统、 体育设施等。新建配套市政道路开元街（富原路-迎祥路K0+790. 346-K1+450. 4段）、广原街（富 原路-迎祥路KO+45. 33-K0+715. 56段）、迎祥路（开元街-广原街KO+44. 93-K0+408. 58段），开 元街的实施内容为工程施工，广原街和迎祥路的实施内容为施工图设计、工程施工。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sz w:val="24"/>
                <w:szCs w:val="24"/>
                <w:highlight w:val="none"/>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40" w:lineRule="exact"/>
              <w:jc w:val="left"/>
              <w:outlineLvl w:val="9"/>
              <w:rPr>
                <w:rFonts w:hint="eastAsia" w:asciiTheme="minorHAnsi" w:hAnsiTheme="minorHAnsi" w:eastAsiaTheme="minorEastAsia" w:cstheme="minorBidi"/>
                <w:color w:val="auto"/>
                <w:sz w:val="24"/>
                <w:highlight w:val="none"/>
              </w:rPr>
            </w:pPr>
            <w:r>
              <w:rPr>
                <w:rFonts w:hint="eastAsia" w:asciiTheme="minorHAnsi" w:hAnsiTheme="minorHAnsi" w:eastAsiaTheme="minorEastAsia" w:cstheme="minorBidi"/>
                <w:color w:val="auto"/>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440" w:lineRule="exact"/>
              <w:jc w:val="left"/>
              <w:outlineLvl w:val="9"/>
              <w:rPr>
                <w:rFonts w:hint="eastAsia" w:asciiTheme="minorHAnsi" w:hAnsiTheme="minorHAnsi" w:eastAsiaTheme="minorEastAsia" w:cstheme="minorBidi"/>
                <w:color w:val="auto"/>
                <w:sz w:val="24"/>
                <w:highlight w:val="none"/>
              </w:rPr>
            </w:pPr>
            <w:r>
              <w:rPr>
                <w:rFonts w:hint="eastAsia" w:asciiTheme="minorHAnsi" w:hAnsiTheme="minorHAnsi" w:eastAsiaTheme="minorEastAsia" w:cstheme="minorBidi"/>
                <w:bCs w:val="0"/>
                <w:color w:val="auto"/>
                <w:sz w:val="24"/>
                <w:szCs w:val="24"/>
                <w:highlight w:val="none"/>
                <w:u w:val="none"/>
                <w:lang w:eastAsia="zh-CN"/>
              </w:rPr>
              <w:t>投标人资质要求：</w:t>
            </w:r>
            <w:r>
              <w:rPr>
                <w:rFonts w:hint="eastAsia" w:asciiTheme="minorHAnsi" w:hAnsiTheme="minorHAnsi" w:cstheme="minorBidi"/>
                <w:color w:val="auto"/>
                <w:kern w:val="2"/>
                <w:sz w:val="24"/>
                <w:highlight w:val="none"/>
              </w:rPr>
              <w:t>投标单位必须是重庆对外建设（集团）有限公司合格供方库内单位</w:t>
            </w:r>
            <w:r>
              <w:rPr>
                <w:rFonts w:hint="eastAsia" w:asciiTheme="minorHAnsi" w:hAnsiTheme="minorHAnsi" w:cstheme="minorBidi"/>
                <w:color w:val="auto"/>
                <w:kern w:val="2"/>
                <w:sz w:val="24"/>
                <w:highlight w:val="none"/>
                <w:lang w:eastAsia="zh-CN"/>
              </w:rPr>
              <w:t>，且无失信记录。本次要求投标人具有一定技术实力和管理能力且取得公司法人《营业执照》的企业，近三年完成过类似工程（土石方工程</w:t>
            </w:r>
            <w:r>
              <w:rPr>
                <w:rFonts w:ascii="宋体" w:hAnsi="宋体" w:eastAsia="宋体" w:cs="宋体"/>
                <w:sz w:val="24"/>
                <w:szCs w:val="24"/>
              </w:rPr>
              <w:t>业绩合同复印件</w:t>
            </w:r>
            <w:r>
              <w:rPr>
                <w:rFonts w:hint="eastAsia" w:asciiTheme="minorHAnsi" w:hAnsiTheme="minorHAnsi" w:cstheme="minorBidi"/>
                <w:color w:val="auto"/>
                <w:kern w:val="2"/>
                <w:sz w:val="24"/>
                <w:highlight w:val="none"/>
                <w:lang w:eastAsia="zh-CN"/>
              </w:rPr>
              <w:t>）。</w:t>
            </w:r>
            <w:r>
              <w:rPr>
                <w:rFonts w:hint="eastAsia" w:asciiTheme="minorHAnsi" w:hAnsiTheme="minorHAnsi" w:cstheme="minorBidi"/>
                <w:color w:val="auto"/>
                <w:kern w:val="2"/>
                <w:sz w:val="24"/>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440" w:lineRule="exact"/>
              <w:jc w:val="left"/>
              <w:outlineLvl w:val="9"/>
              <w:rPr>
                <w:rFonts w:ascii="宋体" w:hAnsi="宋体" w:eastAsia="宋体" w:cs="宋体"/>
                <w:sz w:val="24"/>
                <w:highlight w:val="none"/>
              </w:rPr>
            </w:pPr>
            <w:r>
              <w:rPr>
                <w:rFonts w:hint="eastAsia"/>
                <w:color w:val="auto"/>
                <w:sz w:val="24"/>
                <w:szCs w:val="24"/>
                <w:highlight w:val="none"/>
                <w:lang w:eastAsia="zh-CN"/>
              </w:rPr>
              <w:t>开元街道路、排水、电力通信、照明工程土石方专业分包</w:t>
            </w:r>
            <w:r>
              <w:rPr>
                <w:rFonts w:hint="eastAsia"/>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宋体" w:hAnsi="宋体" w:eastAsia="宋体" w:cs="宋体"/>
                <w:sz w:val="24"/>
                <w:szCs w:val="24"/>
              </w:rPr>
              <w:t>本工程乙方必须按总包合同有关质量约定，并按照国家和地方政府颁布现行的</w:t>
            </w:r>
            <w:r>
              <w:rPr>
                <w:rFonts w:hint="eastAsia" w:ascii="宋体" w:hAnsi="宋体" w:eastAsia="宋体" w:cs="宋体"/>
                <w:color w:val="auto"/>
                <w:sz w:val="24"/>
                <w:szCs w:val="24"/>
                <w:highlight w:val="none"/>
                <w:u w:val="none"/>
                <w:lang w:eastAsia="zh-CN"/>
              </w:rPr>
              <w:t>《城镇道路工程施工与质量验收规范》</w:t>
            </w:r>
            <w:r>
              <w:rPr>
                <w:rFonts w:hint="eastAsia" w:ascii="宋体" w:hAnsi="宋体" w:eastAsia="宋体" w:cs="宋体"/>
                <w:sz w:val="24"/>
                <w:szCs w:val="24"/>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4"/>
                <w:highlight w:val="none"/>
                <w:lang w:val="en-US"/>
              </w:rPr>
            </w:pPr>
            <w:r>
              <w:rPr>
                <w:rFonts w:hint="eastAsia" w:ascii="宋体" w:hAnsi="宋体" w:eastAsia="宋体" w:cs="宋体"/>
                <w:sz w:val="24"/>
                <w:szCs w:val="24"/>
                <w:lang w:val="en-US"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暂估6个</w:t>
            </w:r>
            <w:r>
              <w:rPr>
                <w:rFonts w:hint="eastAsia" w:ascii="宋体" w:hAnsi="宋体" w:eastAsia="宋体" w:cs="宋体"/>
                <w:sz w:val="24"/>
                <w:szCs w:val="24"/>
                <w:highlight w:val="none"/>
                <w:lang w:val="en-US" w:eastAsia="zh-CN"/>
              </w:rPr>
              <w:t>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r>
              <w:rPr>
                <w:rFonts w:hint="eastAsia" w:ascii="宋体" w:hAnsi="宋体" w:eastAsia="宋体" w:cs="宋体"/>
                <w:color w:val="auto"/>
                <w:sz w:val="24"/>
                <w:highlight w:val="none"/>
                <w:lang w:val="en-US" w:eastAsia="zh-CN"/>
              </w:rPr>
              <w:t>暂定</w:t>
            </w:r>
            <w:r>
              <w:rPr>
                <w:rFonts w:hint="eastAsia" w:ascii="宋体" w:hAnsi="宋体" w:eastAsia="宋体" w:cs="宋体"/>
                <w:color w:val="auto"/>
                <w:sz w:val="24"/>
                <w:szCs w:val="24"/>
                <w:highlight w:val="none"/>
                <w:lang w:val="en-US" w:eastAsia="zh-CN"/>
              </w:rPr>
              <w:t>538.173287</w:t>
            </w:r>
            <w:r>
              <w:rPr>
                <w:rFonts w:hint="eastAsia" w:ascii="宋体" w:hAnsi="宋体" w:eastAsia="宋体" w:cs="宋体"/>
                <w:b w:val="0"/>
                <w:i w:val="0"/>
                <w:color w:val="auto"/>
                <w:kern w:val="2"/>
                <w:sz w:val="24"/>
                <w:szCs w:val="24"/>
                <w:highlight w:val="none"/>
                <w:u w:val="none"/>
                <w:lang w:val="en-US" w:eastAsia="zh-CN" w:bidi="ar"/>
              </w:rPr>
              <w:t>万</w:t>
            </w:r>
            <w:r>
              <w:rPr>
                <w:rFonts w:hint="eastAsia" w:ascii="宋体" w:hAnsi="宋体" w:eastAsia="宋体" w:cs="宋体"/>
                <w:color w:val="auto"/>
                <w:sz w:val="24"/>
                <w:highlight w:val="none"/>
                <w:u w:val="none"/>
                <w:lang w:val="en-US" w:eastAsia="zh-CN" w:bidi="ar"/>
              </w:rPr>
              <w:t>元</w:t>
            </w:r>
            <w:r>
              <w:rPr>
                <w:rFonts w:hint="eastAsia" w:ascii="宋体" w:hAnsi="宋体" w:eastAsia="宋体" w:cs="宋体"/>
                <w:sz w:val="24"/>
                <w:highlight w:val="none"/>
                <w:u w:val="none"/>
                <w:lang w:val="en-US" w:eastAsia="zh-CN" w:bidi="ar"/>
              </w:rPr>
              <w:t>（含税）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tLeast"/>
              <w:jc w:val="left"/>
              <w:rPr>
                <w:rFonts w:ascii="宋体" w:hAnsi="宋体" w:eastAsia="宋体" w:cs="宋体"/>
                <w:sz w:val="24"/>
              </w:rPr>
            </w:pPr>
            <w:r>
              <w:rPr>
                <w:rFonts w:hint="eastAsia" w:ascii="宋体" w:hAnsi="宋体" w:eastAsia="宋体" w:cs="宋体"/>
                <w:sz w:val="24"/>
              </w:rPr>
              <w:t>乙方向甲方缴纳1%的履约保证金；</w:t>
            </w:r>
          </w:p>
          <w:p>
            <w:pPr>
              <w:snapToGrid w:val="0"/>
              <w:spacing w:line="340" w:lineRule="exact"/>
              <w:jc w:val="left"/>
              <w:rPr>
                <w:rFonts w:ascii="宋体" w:hAnsi="宋体" w:eastAsia="宋体" w:cs="宋体"/>
                <w:sz w:val="24"/>
                <w:highlight w:val="none"/>
              </w:rPr>
            </w:pPr>
            <w:r>
              <w:rPr>
                <w:rFonts w:hint="eastAsia" w:ascii="宋体" w:hAnsi="宋体" w:eastAsia="宋体" w:cs="宋体"/>
                <w:sz w:val="24"/>
              </w:rPr>
              <w:t>保证金退还：一是工程实体完成； 二是专业分包结算工作完成，经甲方复审确认；</w:t>
            </w:r>
            <w:r>
              <w:rPr>
                <w:rFonts w:hint="eastAsia" w:ascii="宋体" w:hAnsi="宋体" w:eastAsia="宋体" w:cs="宋体"/>
                <w:sz w:val="24"/>
                <w:szCs w:val="24"/>
              </w:rPr>
              <w:t>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Calibri" w:hAnsi="Calibri" w:eastAsia="宋体" w:cs="宋体"/>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 xml:space="preserve">报价范围: </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Theme="minorEastAsia" w:hAnsiTheme="minorEastAsia"/>
                <w:color w:val="auto"/>
                <w:sz w:val="24"/>
                <w:szCs w:val="24"/>
                <w:highlight w:val="none"/>
                <w:lang w:eastAsia="zh-CN"/>
              </w:rPr>
            </w:pPr>
            <w:r>
              <w:rPr>
                <w:rFonts w:hint="eastAsia"/>
                <w:color w:val="auto"/>
                <w:sz w:val="24"/>
                <w:szCs w:val="24"/>
                <w:highlight w:val="none"/>
                <w:lang w:eastAsia="zh-CN"/>
              </w:rPr>
              <w:t>开元街道路、排水、电力通信、照明工程土石方专业分包2</w:t>
            </w:r>
          </w:p>
          <w:p>
            <w:pPr>
              <w:pStyle w:val="6"/>
              <w:widowControl/>
              <w:adjustRightInd/>
              <w:rPr>
                <w:sz w:val="24"/>
                <w:szCs w:val="24"/>
              </w:rPr>
            </w:pPr>
            <w:r>
              <w:rPr>
                <w:iCs/>
                <w:sz w:val="24"/>
                <w:szCs w:val="24"/>
              </w:rPr>
              <w:t>2</w:t>
            </w:r>
            <w:r>
              <w:rPr>
                <w:rFonts w:hint="eastAsia" w:cs="宋体"/>
                <w:sz w:val="24"/>
                <w:szCs w:val="24"/>
              </w:rPr>
              <w:t>工程报价</w:t>
            </w:r>
          </w:p>
          <w:p>
            <w:pPr>
              <w:pStyle w:val="6"/>
              <w:widowControl/>
              <w:adjustRightInd/>
              <w:rPr>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widowControl/>
              <w:adjustRightInd/>
              <w:rPr>
                <w:sz w:val="24"/>
                <w:szCs w:val="24"/>
              </w:rPr>
            </w:pPr>
            <w:r>
              <w:rPr>
                <w:sz w:val="24"/>
                <w:szCs w:val="24"/>
              </w:rPr>
              <w:t>2.1</w:t>
            </w:r>
            <w:r>
              <w:rPr>
                <w:rFonts w:hint="eastAsia" w:cs="宋体"/>
                <w:sz w:val="24"/>
                <w:szCs w:val="24"/>
              </w:rPr>
              <w:t>投标报价要求</w:t>
            </w:r>
          </w:p>
          <w:p>
            <w:pPr>
              <w:pStyle w:val="6"/>
              <w:widowControl/>
              <w:adjustRightInd/>
              <w:rPr>
                <w:sz w:val="24"/>
                <w:szCs w:val="24"/>
              </w:rPr>
            </w:pPr>
            <w:r>
              <w:rPr>
                <w:sz w:val="24"/>
                <w:szCs w:val="24"/>
              </w:rPr>
              <w:t>A</w:t>
            </w:r>
            <w:r>
              <w:rPr>
                <w:rFonts w:hint="eastAsia" w:cs="宋体"/>
                <w:sz w:val="24"/>
                <w:szCs w:val="24"/>
              </w:rPr>
              <w:t>、可竞争费用（即：包干价）根据招采文件、施工图，结合现场踏勘情况、市场和企业情况自主合理报价，实行综合单价包干，但不得低于企业成本。暂定价按报价表提供单价填报。</w:t>
            </w:r>
          </w:p>
          <w:p>
            <w:pPr>
              <w:pStyle w:val="6"/>
              <w:widowControl/>
              <w:adjustRightInd/>
              <w:rPr>
                <w:sz w:val="24"/>
                <w:szCs w:val="24"/>
              </w:rPr>
            </w:pPr>
            <w:r>
              <w:rPr>
                <w:sz w:val="24"/>
                <w:szCs w:val="24"/>
              </w:rPr>
              <w:t xml:space="preserve">    B</w:t>
            </w:r>
            <w:r>
              <w:rPr>
                <w:rFonts w:hint="eastAsia" w:cs="宋体"/>
                <w:sz w:val="24"/>
                <w:szCs w:val="24"/>
              </w:rPr>
              <w:t>、列项按构件名称，不得漏报、多报，如漏报，视为含在其它项目中，如多列项，结算时予以扣除；</w:t>
            </w:r>
          </w:p>
          <w:p>
            <w:pPr>
              <w:pStyle w:val="6"/>
              <w:widowControl/>
              <w:adjustRightInd/>
              <w:rPr>
                <w:sz w:val="24"/>
                <w:szCs w:val="24"/>
              </w:rPr>
            </w:pPr>
            <w:r>
              <w:rPr>
                <w:sz w:val="24"/>
                <w:szCs w:val="24"/>
              </w:rPr>
              <w:t xml:space="preserve">    C</w:t>
            </w:r>
            <w:r>
              <w:rPr>
                <w:rFonts w:hint="eastAsia" w:cs="宋体"/>
                <w:sz w:val="24"/>
                <w:szCs w:val="24"/>
              </w:rPr>
              <w:t>、工作内容应包括齐全，未齐全的视为齐全，实施时不得以此为理由不予施工或另行索赔费用；</w:t>
            </w:r>
          </w:p>
          <w:p>
            <w:pPr>
              <w:pStyle w:val="6"/>
              <w:widowControl/>
              <w:adjustRightInd/>
              <w:rPr>
                <w:sz w:val="24"/>
                <w:szCs w:val="24"/>
              </w:rPr>
            </w:pPr>
            <w:r>
              <w:rPr>
                <w:sz w:val="24"/>
                <w:szCs w:val="24"/>
              </w:rPr>
              <w:t xml:space="preserve">    D</w:t>
            </w:r>
            <w:r>
              <w:rPr>
                <w:rFonts w:hint="eastAsia" w:cs="宋体"/>
                <w:sz w:val="24"/>
                <w:szCs w:val="24"/>
              </w:rPr>
              <w:t>、项目特征应准确表述，表述不准确的视为按设计或规范已表述准确；</w:t>
            </w:r>
          </w:p>
          <w:p>
            <w:pPr>
              <w:pStyle w:val="6"/>
              <w:widowControl/>
              <w:adjustRightInd/>
              <w:rPr>
                <w:rFonts w:cs="宋体"/>
                <w:sz w:val="24"/>
                <w:szCs w:val="24"/>
              </w:rPr>
            </w:pPr>
            <w:r>
              <w:rPr>
                <w:sz w:val="24"/>
                <w:szCs w:val="24"/>
              </w:rPr>
              <w:t xml:space="preserve">    E</w:t>
            </w:r>
            <w:r>
              <w:rPr>
                <w:rFonts w:hint="eastAsia" w:cs="宋体"/>
                <w:sz w:val="24"/>
                <w:szCs w:val="24"/>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eastAsia="宋体" w:cs="宋体"/>
                <w:sz w:val="24"/>
                <w:szCs w:val="24"/>
              </w:rPr>
              <w:t>综合单价不论现场情况怎么变化，单价固定不变。</w:t>
            </w:r>
          </w:p>
          <w:p>
            <w:pPr>
              <w:pStyle w:val="6"/>
              <w:widowControl/>
              <w:adjustRightInd/>
              <w:rPr>
                <w:sz w:val="24"/>
                <w:szCs w:val="24"/>
              </w:rPr>
            </w:pPr>
            <w:r>
              <w:rPr>
                <w:sz w:val="24"/>
                <w:szCs w:val="24"/>
              </w:rPr>
              <w:t>F</w:t>
            </w:r>
            <w:r>
              <w:rPr>
                <w:rFonts w:hint="eastAsia" w:cs="宋体"/>
                <w:sz w:val="24"/>
                <w:szCs w:val="24"/>
              </w:rPr>
              <w:t>、严格按照招采文件提供的报价方式进行报价（详见投标报价表）。</w:t>
            </w:r>
          </w:p>
          <w:p>
            <w:pPr>
              <w:pStyle w:val="6"/>
              <w:widowControl/>
              <w:adjustRightInd/>
              <w:snapToGrid w:val="0"/>
              <w:rPr>
                <w:rFonts w:ascii="宋体" w:hAnsi="宋体" w:cs="宋体"/>
                <w:spacing w:val="-6"/>
                <w:sz w:val="24"/>
                <w:szCs w:val="24"/>
              </w:rPr>
            </w:pPr>
            <w:r>
              <w:rPr>
                <w:rFonts w:hint="eastAsia" w:ascii="宋体" w:hAnsi="宋体" w:cs="宋体"/>
                <w:spacing w:val="-6"/>
                <w:sz w:val="24"/>
                <w:szCs w:val="24"/>
              </w:rPr>
              <w:t>特别提示：</w:t>
            </w:r>
          </w:p>
          <w:p>
            <w:pPr>
              <w:pStyle w:val="6"/>
              <w:widowControl/>
              <w:adjustRightInd/>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8"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1"/>
                <w:numId w:val="0"/>
              </w:numPr>
              <w:suppressLineNumbers w:val="0"/>
              <w:snapToGrid/>
              <w:spacing w:before="0" w:beforeAutospacing="0" w:after="0" w:afterAutospacing="0" w:line="300" w:lineRule="exact"/>
              <w:ind w:left="0" w:right="0" w:firstLine="0" w:firstLineChars="0"/>
              <w:jc w:val="left"/>
              <w:outlineLvl w:val="9"/>
              <w:rPr>
                <w:rFonts w:hint="eastAsia" w:ascii="Calibri" w:hAnsi="Calibri" w:eastAsia="宋体" w:cs="宋体"/>
                <w:color w:val="auto"/>
                <w:sz w:val="24"/>
                <w:szCs w:val="24"/>
                <w:highlight w:val="none"/>
                <w:lang w:eastAsia="zh-CN"/>
              </w:rPr>
            </w:pPr>
            <w:r>
              <w:rPr>
                <w:rFonts w:hint="eastAsia" w:ascii="Calibri" w:hAnsi="Calibri" w:eastAsia="宋体" w:cs="宋体"/>
                <w:color w:val="auto"/>
                <w:sz w:val="24"/>
                <w:szCs w:val="24"/>
                <w:highlight w:val="none"/>
                <w:lang w:eastAsia="zh-CN"/>
              </w:rPr>
              <w:t>支付条款：</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rFonts w:hint="eastAsia" w:ascii="Calibri" w:hAnsi="Calibri" w:eastAsia="宋体" w:cs="宋体"/>
                <w:sz w:val="24"/>
                <w:szCs w:val="24"/>
                <w:lang w:val="en-US" w:eastAsia="zh-CN"/>
              </w:rPr>
            </w:pPr>
            <w:r>
              <w:rPr>
                <w:rFonts w:hint="eastAsia" w:ascii="Calibri" w:hAnsi="Calibri" w:eastAsia="宋体" w:cs="宋体"/>
                <w:sz w:val="24"/>
                <w:szCs w:val="24"/>
                <w:lang w:val="en-US" w:eastAsia="zh-CN"/>
              </w:rPr>
              <w:t>（1）、甲方根据审核后的月进度结算金额，并扣除对乙方的甲供材料、甲供设备、各种违约金、代扣代缴等各项扣款后，甲方在收到发包人支付的工程进度款的次月28日内按60%支付乙方分包工程进度款。</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rFonts w:hint="eastAsia" w:ascii="Calibri" w:hAnsi="Calibri" w:eastAsia="宋体" w:cs="宋体"/>
                <w:sz w:val="24"/>
                <w:szCs w:val="24"/>
                <w:lang w:val="en-US" w:eastAsia="zh-CN"/>
              </w:rPr>
            </w:pPr>
            <w:r>
              <w:rPr>
                <w:rFonts w:hint="eastAsia" w:ascii="Calibri" w:hAnsi="Calibri" w:eastAsia="宋体" w:cs="宋体"/>
                <w:sz w:val="24"/>
                <w:szCs w:val="24"/>
                <w:lang w:val="en-US" w:eastAsia="zh-CN"/>
              </w:rPr>
              <w:t>（2）、工程完工验收合格后，甲方在收到发包人支付的工程进度款的次月28日内支付至累计月进度款的80%。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rFonts w:hint="eastAsia" w:ascii="Calibri" w:hAnsi="Calibri" w:eastAsia="宋体" w:cs="宋体"/>
                <w:sz w:val="24"/>
                <w:szCs w:val="24"/>
                <w:lang w:val="en-US" w:eastAsia="zh-CN"/>
              </w:rPr>
            </w:pPr>
            <w:r>
              <w:rPr>
                <w:rFonts w:hint="eastAsia" w:ascii="Calibri" w:hAnsi="Calibri" w:eastAsia="宋体" w:cs="宋体"/>
                <w:sz w:val="24"/>
                <w:szCs w:val="24"/>
                <w:lang w:val="en-US" w:eastAsia="zh-CN"/>
              </w:rPr>
              <w:t>（3）、分包结算完成并经甲方项目部和分公司结算审核后，三个月内支付到审定结算金额的95%；剩余5%作为质量保修金。</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rFonts w:hint="eastAsia" w:ascii="Calibri" w:hAnsi="Calibri" w:eastAsia="宋体" w:cs="宋体"/>
                <w:sz w:val="24"/>
                <w:szCs w:val="24"/>
                <w:lang w:val="en-US" w:eastAsia="zh-CN"/>
              </w:rPr>
            </w:pPr>
            <w:r>
              <w:rPr>
                <w:rFonts w:hint="eastAsia" w:ascii="Calibri" w:hAnsi="Calibri" w:eastAsia="宋体" w:cs="宋体"/>
                <w:sz w:val="24"/>
                <w:szCs w:val="24"/>
                <w:lang w:val="en-US" w:eastAsia="zh-CN"/>
              </w:rPr>
              <w:t>（4）、5%的质量保修金在保修期满后，在完善相关手续后一次性无息付清。</w:t>
            </w:r>
          </w:p>
          <w:p>
            <w:pPr>
              <w:widowControl/>
              <w:numPr>
                <w:ilvl w:val="-1"/>
                <w:numId w:val="0"/>
              </w:numPr>
              <w:spacing w:line="300" w:lineRule="exact"/>
              <w:ind w:firstLine="240" w:firstLineChars="100"/>
              <w:jc w:val="left"/>
              <w:outlineLvl w:val="9"/>
              <w:rPr>
                <w:rFonts w:hint="eastAsia" w:ascii="Calibri" w:hAnsi="Calibri" w:eastAsia="宋体" w:cs="宋体"/>
                <w:sz w:val="24"/>
                <w:szCs w:val="24"/>
              </w:rPr>
            </w:pPr>
            <w:r>
              <w:rPr>
                <w:rFonts w:hint="eastAsia" w:ascii="Calibri" w:hAnsi="Calibri" w:eastAsia="宋体" w:cs="宋体"/>
                <w:sz w:val="24"/>
                <w:szCs w:val="24"/>
                <w:lang w:val="en-US" w:eastAsia="zh-CN"/>
              </w:rPr>
              <w:t>（5）所有支付节点前提要在收到工程款后进行支付</w:t>
            </w:r>
          </w:p>
          <w:p>
            <w:pPr>
              <w:keepNext w:val="0"/>
              <w:keepLines w:val="0"/>
              <w:widowControl/>
              <w:numPr>
                <w:ilvl w:val="-1"/>
                <w:numId w:val="0"/>
              </w:numPr>
              <w:suppressLineNumbers w:val="0"/>
              <w:snapToGrid/>
              <w:spacing w:before="0" w:beforeAutospacing="0" w:after="0" w:afterAutospacing="0" w:line="300" w:lineRule="exact"/>
              <w:ind w:right="0" w:rightChars="0" w:firstLine="240" w:firstLineChars="100"/>
              <w:jc w:val="left"/>
              <w:outlineLvl w:val="9"/>
              <w:rPr>
                <w:rFonts w:hint="eastAsia" w:ascii="Calibri" w:hAnsi="Calibri" w:eastAsia="宋体" w:cs="宋体"/>
                <w:color w:val="auto"/>
                <w:sz w:val="24"/>
                <w:szCs w:val="24"/>
                <w:highlight w:val="none"/>
                <w:lang w:eastAsia="zh-CN"/>
              </w:rPr>
            </w:pPr>
            <w:r>
              <w:rPr>
                <w:rFonts w:hint="eastAsia" w:ascii="Calibri" w:hAnsi="Calibri" w:eastAsia="宋体" w:cs="宋体"/>
                <w:sz w:val="24"/>
                <w:szCs w:val="24"/>
              </w:rPr>
              <w:t>支付方式：银行转账或承兑汇票</w:t>
            </w:r>
            <w:r>
              <w:rPr>
                <w:rFonts w:hint="eastAsia" w:ascii="Calibri" w:hAnsi="Calibri" w:eastAsia="宋体" w:cs="宋体"/>
                <w:sz w:val="24"/>
                <w:szCs w:val="24"/>
                <w:lang w:eastAsia="zh-CN"/>
              </w:rPr>
              <w:t>、</w:t>
            </w:r>
            <w:r>
              <w:rPr>
                <w:rFonts w:hint="eastAsia" w:ascii="Calibri" w:hAnsi="Calibri" w:eastAsia="宋体" w:cs="宋体"/>
                <w:sz w:val="24"/>
                <w:szCs w:val="24"/>
              </w:rPr>
              <w:t>E信通等金融产品的一种或多种支付（若产生相关费用由乙方承担）。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val="en-US" w:eastAsia="zh-CN"/>
              </w:rPr>
            </w:pPr>
            <w:r>
              <w:rPr>
                <w:rFonts w:hint="eastAsia" w:ascii="宋体" w:hAnsi="宋体"/>
                <w:sz w:val="24"/>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eastAsia"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eastAsia="zh-CN"/>
              </w:rPr>
              <w:t>王经理</w:t>
            </w:r>
            <w:r>
              <w:rPr>
                <w:rFonts w:hint="eastAsia"/>
                <w:color w:val="auto"/>
                <w:sz w:val="24"/>
                <w:szCs w:val="24"/>
                <w:highlight w:val="none"/>
              </w:rPr>
              <w:t>，电话：</w:t>
            </w:r>
            <w:r>
              <w:rPr>
                <w:rFonts w:hint="eastAsia"/>
                <w:color w:val="auto"/>
                <w:sz w:val="24"/>
                <w:szCs w:val="24"/>
                <w:highlight w:val="none"/>
                <w:lang w:val="en-US" w:eastAsia="zh-CN"/>
              </w:rPr>
              <w:t>13668010919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日至20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bookmarkStart w:id="134" w:name="_GoBack"/>
            <w:bookmarkEnd w:id="134"/>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color w:val="auto"/>
                <w:kern w:val="2"/>
                <w:sz w:val="21"/>
                <w:szCs w:val="22"/>
                <w:highlight w:val="none"/>
                <w:lang w:eastAsia="zh-CN"/>
              </w:rPr>
              <w:t>投标人具有一定技术实力和管理能力且取得公司法人《营业执照》的企业，近三年完成过类似工程（土石方工程</w:t>
            </w:r>
            <w:r>
              <w:rPr>
                <w:rFonts w:hint="eastAsia" w:ascii="宋体" w:hAnsi="宋体" w:eastAsia="宋体" w:cs="宋体"/>
                <w:sz w:val="21"/>
                <w:szCs w:val="22"/>
                <w:highlight w:val="none"/>
              </w:rPr>
              <w:t>业绩合同复印件</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42923333"/>
      <w:bookmarkStart w:id="1" w:name="_Toc123786822"/>
      <w:bookmarkStart w:id="2" w:name="_Toc71877701"/>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71877703"/>
      <w:bookmarkStart w:id="5" w:name="_Toc42923335"/>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71877705"/>
      <w:bookmarkStart w:id="7" w:name="_Toc123786826"/>
      <w:bookmarkStart w:id="8" w:name="_Toc42923337"/>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水利工程专业分包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71877707"/>
      <w:bookmarkStart w:id="17" w:name="_Toc42923339"/>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42923340"/>
      <w:bookmarkStart w:id="21" w:name="_Toc71877708"/>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42923341"/>
      <w:bookmarkStart w:id="24" w:name="_Toc71877709"/>
      <w:bookmarkStart w:id="25" w:name="_Toc12378683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71877710"/>
      <w:bookmarkStart w:id="27" w:name="_Toc42923342"/>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71877711"/>
      <w:bookmarkStart w:id="31" w:name="_Toc4292334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123786834"/>
      <w:bookmarkStart w:id="33" w:name="_Toc71877712"/>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42923345"/>
      <w:bookmarkStart w:id="36" w:name="_Toc12378683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42923346"/>
      <w:bookmarkStart w:id="40" w:name="_Toc12378683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授权委托书</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营业执照（复印件加盖公章）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资质证书（复印件加盖公章）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123786839"/>
      <w:bookmarkStart w:id="46" w:name="_Toc71877717"/>
      <w:bookmarkStart w:id="47" w:name="_Toc4292334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42923353"/>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71877722"/>
      <w:bookmarkStart w:id="53" w:name="_Toc4292335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71877723"/>
      <w:bookmarkStart w:id="55" w:name="_Toc123786845"/>
      <w:bookmarkStart w:id="56" w:name="_Toc4292335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123786846"/>
      <w:bookmarkStart w:id="58" w:name="_Toc42923356"/>
      <w:bookmarkStart w:id="59" w:name="_Toc71877724"/>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42923357"/>
      <w:bookmarkStart w:id="61" w:name="_Toc71877725"/>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42923358"/>
      <w:bookmarkStart w:id="64" w:name="_Toc71877726"/>
      <w:bookmarkStart w:id="65" w:name="_Toc12378684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71877727"/>
      <w:bookmarkStart w:id="67" w:name="_Toc123786849"/>
      <w:bookmarkStart w:id="68" w:name="_Toc4292335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71877728"/>
      <w:bookmarkStart w:id="70" w:name="_Toc42923360"/>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42923361"/>
      <w:bookmarkStart w:id="73" w:name="_Toc71877729"/>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123786852"/>
      <w:bookmarkStart w:id="76" w:name="_Toc4292336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71877731"/>
      <w:bookmarkStart w:id="79" w:name="_Toc42923363"/>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2"/>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42923368"/>
      <w:bookmarkStart w:id="84" w:name="_Toc71877735"/>
      <w:bookmarkStart w:id="85" w:name="_Toc123786857"/>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123786859"/>
      <w:bookmarkStart w:id="87" w:name="_Toc71877740"/>
      <w:bookmarkStart w:id="88" w:name="_Toc42923372"/>
      <w:bookmarkStart w:id="89" w:name="_Toc468157559"/>
      <w:bookmarkStart w:id="90" w:name="_Toc500861020"/>
      <w:bookmarkStart w:id="91" w:name="_Toc467987846"/>
      <w:bookmarkStart w:id="92" w:name="_Toc468606052"/>
      <w:bookmarkStart w:id="93" w:name="_Toc458262635"/>
      <w:bookmarkStart w:id="94" w:name="_Toc479991605"/>
      <w:bookmarkStart w:id="95" w:name="_Toc480020280"/>
      <w:bookmarkStart w:id="96" w:name="_Toc467236763"/>
      <w:bookmarkStart w:id="97" w:name="_Toc480021076"/>
      <w:bookmarkStart w:id="98" w:name="_Toc480010731"/>
      <w:bookmarkStart w:id="99" w:name="_Toc491658674"/>
      <w:bookmarkStart w:id="100" w:name="_Toc32977091"/>
      <w:bookmarkStart w:id="101" w:name="_Toc454701402"/>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auto"/>
          <w:sz w:val="30"/>
          <w:szCs w:val="32"/>
          <w:lang w:val="en-US" w:eastAsia="zh-CN"/>
        </w:rPr>
      </w:pP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sz w:val="21"/>
          <w:szCs w:val="21"/>
          <w:u w:val="single"/>
          <w:lang w:val="en-US" w:eastAsia="zh-CN"/>
        </w:rPr>
        <w:t>样例；拟写合同时请按实际</w:t>
      </w:r>
      <w:r>
        <w:rPr>
          <w:rStyle w:val="18"/>
          <w:rFonts w:hint="eastAsia" w:ascii="Times New Roman" w:hAnsi="Times New Roman"/>
          <w:color w:val="632423"/>
          <w:sz w:val="21"/>
          <w:szCs w:val="21"/>
          <w:u w:val="single"/>
          <w:lang w:val="en-US" w:eastAsia="zh-CN"/>
        </w:rPr>
        <w:t>专业分包内容</w:t>
      </w:r>
      <w:r>
        <w:rPr>
          <w:rStyle w:val="18"/>
          <w:rFonts w:hint="eastAsia" w:ascii="Times New Roman" w:hAnsi="Times New Roman" w:eastAsia="宋体"/>
          <w:color w:val="632423"/>
          <w:sz w:val="21"/>
          <w:szCs w:val="21"/>
          <w:u w:val="single"/>
          <w:lang w:val="en-US" w:eastAsia="zh-CN"/>
        </w:rPr>
        <w:t>填写</w:t>
      </w:r>
      <w:r>
        <w:rPr>
          <w:rStyle w:val="18"/>
          <w:rFonts w:hint="eastAsia" w:ascii="Times New Roman" w:hAnsi="Times New Roman"/>
          <w:color w:val="632423"/>
          <w:sz w:val="21"/>
          <w:szCs w:val="21"/>
          <w:u w:val="single"/>
          <w:lang w:val="en-US" w:eastAsia="zh-CN"/>
        </w:rPr>
        <w:t>且同类合同相互区分</w:t>
      </w:r>
      <w:r>
        <w:rPr>
          <w:rStyle w:val="18"/>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18"/>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8"/>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color w:val="auto"/>
          <w:sz w:val="28"/>
          <w:szCs w:val="28"/>
        </w:rPr>
      </w:pPr>
      <w:r>
        <w:rPr>
          <w:rFonts w:hint="eastAsia" w:eastAsia="仿宋_GB2312"/>
          <w:color w:val="auto"/>
          <w:sz w:val="28"/>
          <w:szCs w:val="28"/>
        </w:rPr>
        <w:t>4、合同价款支付：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本工程无预付款</w:t>
      </w:r>
      <w:r>
        <w:rPr>
          <w:rFonts w:hint="eastAsia" w:eastAsia="仿宋_GB2312"/>
          <w:color w:val="auto"/>
          <w:sz w:val="28"/>
          <w:szCs w:val="28"/>
        </w:rPr>
        <w:t>。</w:t>
      </w:r>
    </w:p>
    <w:p>
      <w:pPr>
        <w:spacing w:line="440" w:lineRule="exact"/>
        <w:ind w:firstLine="560" w:firstLineChars="200"/>
        <w:rPr>
          <w:rFonts w:eastAsia="仿宋_GB2312"/>
          <w:color w:val="auto"/>
          <w:sz w:val="28"/>
          <w:szCs w:val="28"/>
        </w:rPr>
      </w:pPr>
      <w:r>
        <w:rPr>
          <w:rFonts w:hint="eastAsia" w:eastAsia="仿宋_GB2312"/>
          <w:color w:val="auto"/>
          <w:sz w:val="28"/>
          <w:szCs w:val="28"/>
        </w:rPr>
        <w:t>（2）每次付款前，乙方必须提供计量证书或结算书。</w:t>
      </w:r>
      <w:r>
        <w:rPr>
          <w:rFonts w:hint="eastAsia" w:eastAsia="仿宋_GB2312"/>
          <w:color w:val="auto"/>
          <w:sz w:val="28"/>
        </w:rPr>
        <w:t>每次付款前乙</w:t>
      </w:r>
      <w:r>
        <w:rPr>
          <w:rFonts w:hint="eastAsia" w:eastAsia="仿宋_GB2312"/>
          <w:color w:val="auto"/>
          <w:sz w:val="28"/>
          <w:szCs w:val="28"/>
        </w:rPr>
        <w:t>方需提供全额增值税专用发票，若有需要乙方应提供增值税专用发票对应的开票系统出具的销货清单，且开具的发票必须准确合规，所涉及的税费由乙方全额缴纳并承担。</w:t>
      </w:r>
    </w:p>
    <w:p>
      <w:pPr>
        <w:spacing w:line="440" w:lineRule="exact"/>
        <w:ind w:firstLine="630" w:firstLineChars="225"/>
        <w:rPr>
          <w:rFonts w:eastAsia="仿宋_GB2312"/>
          <w:color w:val="auto"/>
          <w:sz w:val="28"/>
          <w:szCs w:val="28"/>
        </w:rPr>
      </w:pPr>
      <w:r>
        <w:rPr>
          <w:rFonts w:hint="eastAsia" w:eastAsia="仿宋_GB2312"/>
          <w:color w:val="auto"/>
          <w:sz w:val="28"/>
          <w:szCs w:val="28"/>
        </w:rPr>
        <w:t>（3）</w:t>
      </w:r>
      <w:r>
        <w:rPr>
          <w:rFonts w:hint="eastAsia" w:ascii="Times New Roman" w:hAnsi="Times New Roman" w:eastAsia="仿宋_GB2312" w:cs="Times New Roman"/>
          <w:color w:val="auto"/>
          <w:sz w:val="28"/>
          <w:szCs w:val="28"/>
        </w:rPr>
        <w:t>甲方根据审核后的月进度结算金额，并扣除对乙方的甲供材料、甲供设备、各种违约金、代扣代缴等各项扣款后，甲方在收到发包人支付的工程进度款的次月28日内按60%支付乙方分包工程进度款。</w:t>
      </w:r>
      <w:r>
        <w:rPr>
          <w:rFonts w:hint="eastAsia" w:eastAsia="仿宋_GB2312"/>
          <w:color w:val="auto"/>
          <w:sz w:val="28"/>
          <w:szCs w:val="28"/>
        </w:rPr>
        <w:t>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（4）工程完工验收合格后，甲方在收到发包人支付的工程进度款的次月28日内支付至累计月进度款的80%。</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（5）分包结算完成并经甲方项目部和分公司结算审核后，三个月内支付到审定结算金额的95%；剩余5%作为质量保修金。</w:t>
      </w:r>
    </w:p>
    <w:p>
      <w:pPr>
        <w:spacing w:line="440" w:lineRule="exact"/>
        <w:ind w:firstLine="630" w:firstLineChars="225"/>
        <w:rPr>
          <w:rFonts w:eastAsia="仿宋_GB2312"/>
          <w:color w:val="auto"/>
          <w:sz w:val="28"/>
          <w:szCs w:val="28"/>
        </w:rPr>
      </w:pPr>
      <w:r>
        <w:rPr>
          <w:rFonts w:hint="eastAsia" w:eastAsia="仿宋_GB2312"/>
          <w:color w:val="auto"/>
          <w:sz w:val="28"/>
          <w:szCs w:val="28"/>
        </w:rPr>
        <w:t>（6）5%的质量保修金在保修期满后，在完善相关手续后一次性无息付清。</w:t>
      </w:r>
    </w:p>
    <w:p>
      <w:pPr>
        <w:spacing w:line="440" w:lineRule="exact"/>
        <w:ind w:firstLine="630" w:firstLineChars="225"/>
        <w:rPr>
          <w:rFonts w:eastAsia="仿宋_GB2312"/>
          <w:color w:val="auto"/>
          <w:sz w:val="28"/>
          <w:szCs w:val="28"/>
        </w:rPr>
      </w:pPr>
      <w:r>
        <w:rPr>
          <w:rFonts w:hint="eastAsia" w:eastAsia="仿宋_GB2312"/>
          <w:color w:val="auto"/>
          <w:sz w:val="28"/>
          <w:szCs w:val="28"/>
        </w:rPr>
        <w:t>（7）</w:t>
      </w:r>
      <w:r>
        <w:rPr>
          <w:rFonts w:eastAsia="仿宋_GB2312"/>
          <w:color w:val="auto"/>
          <w:sz w:val="28"/>
          <w:szCs w:val="28"/>
        </w:rPr>
        <w:t>甲方的期间支付结算单仅作为进度款支付依据，不作为最终结算依据。</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或《合同法》的有关规定要求解除合同的，应在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二十三、合同份数</w:t>
      </w:r>
    </w:p>
    <w:p>
      <w:pPr>
        <w:spacing w:line="440" w:lineRule="exact"/>
        <w:ind w:firstLine="627" w:firstLineChars="224"/>
        <w:rPr>
          <w:rFonts w:eastAsia="仿宋_GB2312"/>
          <w:color w:val="auto"/>
          <w:sz w:val="28"/>
          <w:szCs w:val="28"/>
        </w:rPr>
      </w:pPr>
      <w:r>
        <w:rPr>
          <w:rFonts w:hint="eastAsia" w:eastAsia="仿宋_GB2312"/>
          <w:color w:val="auto"/>
          <w:sz w:val="28"/>
          <w:szCs w:val="28"/>
        </w:rPr>
        <w:t>本合同一式</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五</w:t>
      </w:r>
      <w:r>
        <w:rPr>
          <w:rFonts w:hint="eastAsia" w:eastAsia="仿宋_GB2312"/>
          <w:color w:val="auto"/>
          <w:sz w:val="28"/>
          <w:szCs w:val="28"/>
          <w:u w:val="single"/>
        </w:rPr>
        <w:t xml:space="preserve"> </w:t>
      </w:r>
      <w:r>
        <w:rPr>
          <w:rFonts w:hint="eastAsia" w:eastAsia="仿宋_GB2312"/>
          <w:color w:val="auto"/>
          <w:sz w:val="28"/>
          <w:szCs w:val="28"/>
        </w:rPr>
        <w:t>份，甲方执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四</w:t>
      </w:r>
      <w:r>
        <w:rPr>
          <w:rFonts w:hint="eastAsia" w:eastAsia="仿宋_GB2312"/>
          <w:color w:val="auto"/>
          <w:sz w:val="28"/>
          <w:szCs w:val="28"/>
          <w:u w:val="single"/>
        </w:rPr>
        <w:t xml:space="preserve"> </w:t>
      </w:r>
      <w:r>
        <w:rPr>
          <w:rFonts w:hint="eastAsia" w:eastAsia="仿宋_GB2312"/>
          <w:color w:val="auto"/>
          <w:sz w:val="28"/>
          <w:szCs w:val="28"/>
        </w:rPr>
        <w:t>份</w:t>
      </w:r>
      <w:r>
        <w:rPr>
          <w:rFonts w:hint="eastAsia" w:eastAsia="仿宋_GB2312"/>
          <w:color w:val="auto"/>
          <w:sz w:val="28"/>
          <w:szCs w:val="28"/>
          <w:lang w:eastAsia="zh-CN"/>
        </w:rPr>
        <w:t>，</w:t>
      </w:r>
      <w:r>
        <w:rPr>
          <w:rFonts w:hint="eastAsia" w:eastAsia="仿宋_GB2312"/>
          <w:color w:val="auto"/>
          <w:sz w:val="28"/>
          <w:szCs w:val="28"/>
        </w:rPr>
        <w:t>乙方执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一</w:t>
      </w:r>
      <w:r>
        <w:rPr>
          <w:rFonts w:hint="eastAsia" w:eastAsia="仿宋_GB2312"/>
          <w:color w:val="auto"/>
          <w:sz w:val="28"/>
          <w:szCs w:val="28"/>
          <w:u w:val="single"/>
        </w:rPr>
        <w:t xml:space="preserve"> </w:t>
      </w:r>
      <w:r>
        <w:rPr>
          <w:rFonts w:hint="eastAsia" w:eastAsia="仿宋_GB2312"/>
          <w:color w:val="auto"/>
          <w:sz w:val="28"/>
          <w:szCs w:val="28"/>
        </w:rPr>
        <w:t>份，均具有同等法律效力。</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二十四、履约、安全保证</w:t>
      </w:r>
      <w:r>
        <w:rPr>
          <w:rFonts w:eastAsia="仿宋_GB2312"/>
          <w:b/>
          <w:color w:val="auto"/>
          <w:sz w:val="28"/>
          <w:szCs w:val="28"/>
        </w:rPr>
        <w:t>金</w:t>
      </w:r>
    </w:p>
    <w:p>
      <w:pPr>
        <w:numPr>
          <w:ilvl w:val="0"/>
          <w:numId w:val="3"/>
        </w:numPr>
        <w:spacing w:line="440" w:lineRule="exact"/>
        <w:ind w:firstLine="627" w:firstLineChars="224"/>
        <w:rPr>
          <w:rFonts w:hint="eastAsia" w:eastAsia="仿宋_GB2312"/>
          <w:color w:val="auto"/>
          <w:sz w:val="28"/>
          <w:szCs w:val="28"/>
        </w:rPr>
      </w:pPr>
      <w:r>
        <w:rPr>
          <w:rFonts w:hint="eastAsia" w:eastAsia="仿宋_GB2312"/>
          <w:color w:val="auto"/>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color w:val="auto"/>
          <w:sz w:val="28"/>
          <w:szCs w:val="28"/>
          <w:u w:val="single"/>
        </w:rPr>
        <w:t>{要求：不低于合同金额的1%}</w:t>
      </w:r>
      <w:r>
        <w:rPr>
          <w:rFonts w:hint="eastAsia" w:eastAsia="仿宋_GB2312"/>
          <w:color w:val="auto"/>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hint="eastAsia" w:eastAsia="仿宋_GB2312"/>
          <w:sz w:val="28"/>
          <w:szCs w:val="28"/>
        </w:rPr>
      </w:pPr>
      <w:r>
        <w:rPr>
          <w:rFonts w:hint="eastAsia" w:eastAsia="仿宋_GB2312"/>
          <w:sz w:val="28"/>
          <w:szCs w:val="28"/>
        </w:rPr>
        <w:t>乙方未按合同按时足额缴纳履约保证金的，则________。</w:t>
      </w:r>
      <w:r>
        <w:rPr>
          <w:rFonts w:hint="eastAsia" w:eastAsia="仿宋_GB2312"/>
          <w:sz w:val="28"/>
          <w:szCs w:val="28"/>
          <w:lang w:val="en-US" w:eastAsia="zh-CN"/>
        </w:rPr>
        <w:t>{</w:t>
      </w:r>
      <w:r>
        <w:rPr>
          <w:rFonts w:hint="eastAsia" w:eastAsia="仿宋_GB2312"/>
          <w:sz w:val="28"/>
          <w:szCs w:val="28"/>
        </w:rPr>
        <w:t>参考条款如下，可多选</w:t>
      </w:r>
      <w:r>
        <w:rPr>
          <w:rFonts w:hint="eastAsia" w:eastAsia="仿宋_GB2312"/>
          <w:sz w:val="28"/>
          <w:szCs w:val="28"/>
          <w:lang w:eastAsia="zh-CN"/>
        </w:rPr>
        <w:t>：</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lang w:eastAsia="zh-CN"/>
        </w:rPr>
        <w:t>）</w:t>
      </w:r>
      <w:r>
        <w:rPr>
          <w:rFonts w:hint="eastAsia" w:eastAsia="仿宋_GB2312"/>
          <w:sz w:val="28"/>
          <w:szCs w:val="28"/>
        </w:rPr>
        <w:t>、履约保证金缴纳，每逾期10日（不足10日的按10日计），乙方须按合同约定向甲方支付履约保证金10%的违约金，最多逾期30天，甲方按本合同支付工程款时将扣除违约金。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、履约保证金缴纳，乙方逾期_____日后，将在甲方国内工程项目供方信息库，取消乙方合格供方资格，且1年内禁止再次申请入库。</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eastAsia="仿宋_GB2312"/>
          <w:sz w:val="28"/>
          <w:szCs w:val="28"/>
          <w:lang w:val="en-US" w:eastAsia="zh-CN"/>
        </w:rPr>
        <w:t>}</w:t>
      </w:r>
    </w:p>
    <w:p>
      <w:pPr>
        <w:spacing w:line="440" w:lineRule="exact"/>
        <w:ind w:firstLine="627" w:firstLineChars="224"/>
        <w:rPr>
          <w:rFonts w:eastAsia="仿宋_GB2312"/>
          <w:color w:val="auto"/>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二十五、</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二十六、</w:t>
      </w:r>
      <w:r>
        <w:rPr>
          <w:rFonts w:hint="eastAsia" w:eastAsia="仿宋_GB2312"/>
          <w:bCs/>
          <w:color w:val="auto"/>
          <w:sz w:val="28"/>
          <w:szCs w:val="28"/>
        </w:rPr>
        <w:t>本合同未尽事宜，由双方协商另行签订补充协议；</w:t>
      </w:r>
    </w:p>
    <w:p>
      <w:pPr>
        <w:spacing w:line="440" w:lineRule="exact"/>
        <w:ind w:firstLine="562" w:firstLineChars="200"/>
        <w:rPr>
          <w:rFonts w:eastAsia="仿宋_GB2312"/>
          <w:b/>
          <w:color w:val="auto"/>
          <w:sz w:val="28"/>
          <w:szCs w:val="28"/>
        </w:rPr>
      </w:pPr>
      <w:r>
        <w:rPr>
          <w:rFonts w:hint="eastAsia" w:eastAsia="仿宋_GB2312"/>
          <w:b/>
          <w:color w:val="auto"/>
          <w:sz w:val="28"/>
          <w:szCs w:val="28"/>
        </w:rPr>
        <w:t>二十七、</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5"/>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1"/>
        <w:spacing w:before="0" w:beforeAutospacing="0" w:after="0" w:afterAutospacing="0" w:line="360" w:lineRule="auto"/>
        <w:rPr>
          <w:rFonts w:ascii="仿宋_GB2312" w:hAnsi="ˎ̥" w:eastAsia="仿宋_GB2312"/>
          <w:color w:val="auto"/>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11"/>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1"/>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1"/>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kern w:val="0"/>
          <w:sz w:val="28"/>
          <w:szCs w:val="28"/>
          <w:lang w:val="en-US" w:eastAsia="zh-CN" w:bidi="ar-SA"/>
        </w:rPr>
        <w:sectPr>
          <w:headerReference r:id="rId5" w:type="default"/>
          <w:footerReference r:id="rId6"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11"/>
        <w:spacing w:before="0" w:beforeAutospacing="0" w:after="0" w:afterAutospacing="0" w:line="440" w:lineRule="exact"/>
        <w:rPr>
          <w:rFonts w:hint="eastAsia"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业分包合同附件1. 合同清单</w:t>
      </w:r>
    </w:p>
    <w:tbl>
      <w:tblPr>
        <w:tblStyle w:val="12"/>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1"/>
                <w:lang w:val="en-US" w:eastAsia="zh-CN" w:bidi="ar"/>
              </w:rPr>
              <w:t>、税率按国家法律法规及政策执行。</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1"/>
                <w:lang w:val="en-US" w:eastAsia="zh-CN" w:bidi="ar"/>
              </w:rPr>
              <w:t>、（按需要补充说明。）</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1"/>
        <w:spacing w:before="0" w:beforeAutospacing="0" w:after="0" w:afterAutospacing="0" w:line="440" w:lineRule="exact"/>
        <w:rPr>
          <w:rFonts w:hint="default" w:ascii="Times New Roman" w:hAnsi="Times New Roman" w:eastAsia="仿宋_GB2312" w:cs="Times New Roman"/>
          <w:color w:val="auto"/>
          <w:sz w:val="28"/>
          <w:szCs w:val="28"/>
          <w:lang w:val="en-US" w:eastAsia="zh-CN"/>
        </w:rPr>
      </w:pPr>
    </w:p>
    <w:p>
      <w:pPr>
        <w:spacing w:line="560" w:lineRule="exact"/>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rPr>
      </w:pP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ascii="Calibri" w:hAnsi="Calibri" w:eastAsia="宋体" w:cs="宋体"/>
          <w:b/>
          <w:bCs/>
          <w:w w:val="90"/>
          <w:sz w:val="32"/>
          <w:szCs w:val="32"/>
          <w:highlight w:val="none"/>
          <w:lang w:val="en-US" w:eastAsia="zh-CN"/>
        </w:rPr>
      </w:pPr>
      <w:bookmarkStart w:id="106" w:name="_Toc480021081"/>
      <w:bookmarkStart w:id="107" w:name="_Toc458262638"/>
      <w:bookmarkStart w:id="108" w:name="_Toc6397150"/>
      <w:bookmarkStart w:id="109" w:name="_Toc480020285"/>
      <w:bookmarkStart w:id="110" w:name="_Toc479991610"/>
      <w:bookmarkStart w:id="111" w:name="_Toc468606057"/>
      <w:bookmarkStart w:id="112" w:name="_Toc6727971"/>
      <w:bookmarkStart w:id="113" w:name="_Toc467236768"/>
      <w:bookmarkStart w:id="114" w:name="_Toc65998015"/>
      <w:bookmarkStart w:id="115" w:name="_Toc90779595"/>
      <w:bookmarkStart w:id="116" w:name="_Toc491658679"/>
      <w:bookmarkStart w:id="117" w:name="_Toc480010736"/>
      <w:bookmarkStart w:id="118" w:name="_Toc500861026"/>
      <w:bookmarkStart w:id="119" w:name="_Toc454701405"/>
      <w:bookmarkStart w:id="120" w:name="_Toc123786880"/>
      <w:bookmarkStart w:id="121" w:name="_Toc467987851"/>
      <w:bookmarkStart w:id="122" w:name="_Toc468157564"/>
      <w:r>
        <w:rPr>
          <w:rFonts w:hint="eastAsia" w:ascii="Calibri" w:hAnsi="Calibri" w:eastAsia="宋体" w:cs="宋体"/>
          <w:b/>
          <w:bCs/>
          <w:color w:val="auto"/>
          <w:w w:val="90"/>
          <w:sz w:val="32"/>
          <w:szCs w:val="32"/>
          <w:highlight w:val="none"/>
          <w:lang w:val="en-US" w:eastAsia="zh-CN"/>
        </w:rPr>
        <w:t>蒲城县城南新区（东区）公共文体服务中心及基础设施建设项目一期工程总承包（EPC）项目开元街</w:t>
      </w:r>
    </w:p>
    <w:p>
      <w:pPr>
        <w:spacing w:line="560" w:lineRule="exact"/>
        <w:jc w:val="center"/>
        <w:rPr>
          <w:b/>
          <w:sz w:val="36"/>
          <w:szCs w:val="36"/>
          <w:highlight w:val="none"/>
        </w:rPr>
      </w:pPr>
      <w:r>
        <w:rPr>
          <w:rFonts w:hint="eastAsia" w:ascii="Calibri" w:hAnsi="Calibri" w:eastAsia="宋体" w:cs="宋体"/>
          <w:b/>
          <w:bCs/>
          <w:color w:val="auto"/>
          <w:w w:val="90"/>
          <w:sz w:val="32"/>
          <w:szCs w:val="32"/>
          <w:highlight w:val="none"/>
          <w:lang w:val="en-US" w:eastAsia="zh-CN"/>
        </w:rPr>
        <w:t xml:space="preserve">土石方专业分包2 </w:t>
      </w: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both"/>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highlight w:val="none"/>
          <w:u w:val="single"/>
          <w:lang w:val="en-US" w:eastAsia="zh-CN"/>
        </w:rPr>
        <w:t>2021-01-1003</w:t>
      </w:r>
      <w:r>
        <w:rPr>
          <w:rFonts w:hint="eastAsia" w:ascii="Calibri" w:hAnsi="Calibri" w:eastAsia="宋体" w:cs="宋体"/>
          <w:b/>
          <w:sz w:val="32"/>
          <w:szCs w:val="32"/>
          <w:u w:val="single"/>
          <w:lang w:val="en-US" w:eastAsia="zh-CN"/>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3" w:name="_Toc123786881"/>
      <w:bookmarkStart w:id="124" w:name="_Toc6727972"/>
      <w:bookmarkStart w:id="125" w:name="_Toc65998016"/>
      <w:bookmarkStart w:id="126" w:name="_Toc491658680"/>
      <w:bookmarkStart w:id="127" w:name="_Toc90779596"/>
      <w:bookmarkStart w:id="128" w:name="_Toc26066260"/>
      <w:bookmarkStart w:id="129" w:name="_Toc6397151"/>
      <w:bookmarkStart w:id="130" w:name="_Toc500861027"/>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olor w:val="auto"/>
          <w:sz w:val="28"/>
          <w:szCs w:val="28"/>
          <w:highlight w:val="none"/>
          <w:u w:val="single"/>
          <w:lang w:val="en-US" w:eastAsia="zh-CN"/>
        </w:rPr>
        <w:t>蒲城县城南新区（东区）公共文体服务中心及基础设施建设项目一期工程总承包（EPC）项目开元街土石方专业分包2</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3"/>
    <w:p>
      <w:pPr>
        <w:rPr>
          <w:rFonts w:hint="eastAsia" w:ascii="宋体" w:hAnsi="宋体"/>
          <w:szCs w:val="21"/>
          <w:highlight w:val="none"/>
        </w:rPr>
      </w:pPr>
      <w:bookmarkStart w:id="131" w:name="_Toc123786886"/>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蒲城县城南新区（东区）公共文体服务中心及基础设施建设项目一期工程总承包（EPC）项目开元街土石方专业分包2 </w:t>
      </w:r>
      <w:r>
        <w:rPr>
          <w:rFonts w:hint="eastAsia" w:ascii="宋体" w:hAnsi="宋体"/>
          <w:color w:val="auto"/>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2021-01-1003</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6" o:spt="1" style="position:absolute;left:0pt;margin-left:-1.15pt;margin-top:5.55pt;height:162.05pt;width:422.85pt;z-index:251663360;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rPr>
          <w:rFonts w:ascii="宋体" w:hAnsi="宋体"/>
          <w:kern w:val="0"/>
          <w:sz w:val="28"/>
          <w:szCs w:val="28"/>
          <w:highlight w:val="none"/>
          <w:u w:val="singl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color w:val="auto"/>
          <w:sz w:val="28"/>
          <w:szCs w:val="28"/>
          <w:highlight w:val="none"/>
          <w:u w:val="single"/>
          <w:lang w:val="en-US" w:eastAsia="zh-CN"/>
        </w:rPr>
        <w:t xml:space="preserve">蒲城县城南新区（东区）公共文体服务中心及基础设施建设项目一期工程总承包（EPC）项目开元街土石方专业分包2 </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2021-01-1003</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7" o:spid="_x0000_s1037" o:spt="1" style="position:absolute;left:0pt;margin-left:7.8pt;margin-top:24.45pt;height:162.05pt;width:422.85pt;z-index:25166540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szCs w:val="21"/>
        </w:rPr>
      </w:pPr>
      <w:r>
        <w:rPr>
          <w:rFonts w:ascii="宋体" w:hAnsi="宋体" w:eastAsia="宋体" w:cs="宋体"/>
          <w:szCs w:val="21"/>
          <w:highlight w:val="none"/>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专业分包资质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widowControl/>
        <w:jc w:val="left"/>
        <w:rPr>
          <w:rFonts w:ascii="宋体" w:hAnsi="宋体" w:eastAsia="宋体" w:cs="宋体"/>
          <w:szCs w:val="21"/>
        </w:rPr>
      </w:pPr>
    </w:p>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jc w:val="left"/>
        <w:rPr>
          <w:rFonts w:ascii="宋体" w:hAnsi="宋体" w:eastAsia="宋体" w:cs="宋体"/>
          <w:sz w:val="28"/>
          <w:szCs w:val="28"/>
          <w:highlight w:val="none"/>
        </w:rPr>
      </w:pPr>
    </w:p>
    <w:p>
      <w:pPr>
        <w:rPr>
          <w:rFonts w:ascii="宋体" w:hAnsi="宋体" w:eastAsia="宋体" w:cs="宋体"/>
          <w:sz w:val="28"/>
          <w:szCs w:val="28"/>
          <w:highlight w:val="none"/>
        </w:rPr>
      </w:pPr>
    </w:p>
    <w:bookmarkEnd w:id="133"/>
    <w:p>
      <w:pPr>
        <w:rPr>
          <w:rFonts w:ascii="宋体" w:hAnsi="宋体" w:eastAsia="宋体" w:cs="宋体"/>
          <w:szCs w:val="21"/>
        </w:rPr>
      </w:pPr>
      <w:r>
        <w:rPr>
          <w:rFonts w:hint="eastAsia" w:ascii="宋体" w:hAnsi="宋体" w:eastAsia="宋体" w:cs="宋体"/>
          <w:szCs w:val="21"/>
        </w:rPr>
        <w:t>附表五：投标申请人情况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465"/>
        <w:gridCol w:w="1603"/>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法定代表人</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联系电话</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营业执照号</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成立时间</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资质等级证书号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专业类别</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安全生产许可证号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开户银行</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基本账号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注册资金</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邮政编码</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jc w:val="center"/>
        <w:rPr>
          <w:rFonts w:hint="eastAsia" w:ascii="宋体" w:hAnsi="宋体" w:cs="宋体"/>
          <w:b/>
          <w:bCs/>
          <w:sz w:val="28"/>
          <w:szCs w:val="28"/>
          <w:highlight w:val="none"/>
          <w:lang w:eastAsia="zh-CN"/>
        </w:rPr>
      </w:pPr>
      <w:r>
        <w:rPr>
          <w:rFonts w:hint="eastAsia" w:ascii="宋体" w:hAnsi="宋体" w:cs="宋体"/>
          <w:b/>
          <w:bCs/>
          <w:color w:val="auto"/>
          <w:sz w:val="28"/>
          <w:szCs w:val="28"/>
          <w:highlight w:val="none"/>
          <w:lang w:val="en-US" w:eastAsia="zh-CN"/>
        </w:rPr>
        <w:t xml:space="preserve">蒲城县城南新区（东区）公共文体服务中心及基础设施建设项目一期工程总承包（EPC）项目开元街土石方专业分包2 </w:t>
      </w:r>
    </w:p>
    <w:p>
      <w:pPr>
        <w:jc w:val="center"/>
        <w:rPr>
          <w:rFonts w:hint="eastAsia" w:ascii="宋体" w:hAnsi="宋体" w:cs="宋体"/>
          <w:sz w:val="22"/>
          <w:szCs w:val="22"/>
          <w:highlight w:val="none"/>
        </w:rPr>
      </w:pPr>
      <w:r>
        <w:rPr>
          <w:rFonts w:hint="eastAsia" w:ascii="宋体" w:hAnsi="宋体" w:cs="宋体"/>
          <w:b/>
          <w:bCs/>
          <w:sz w:val="28"/>
          <w:szCs w:val="28"/>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p>
      <w:pPr>
        <w:jc w:val="left"/>
        <w:rPr>
          <w:rFonts w:hint="eastAsia" w:ascii="宋体" w:hAnsi="宋体" w:cs="宋体"/>
          <w:sz w:val="22"/>
          <w:szCs w:val="22"/>
          <w:highlight w:val="none"/>
        </w:rPr>
      </w:pPr>
    </w:p>
    <w:tbl>
      <w:tblPr>
        <w:tblStyle w:val="12"/>
        <w:tblW w:w="11614" w:type="dxa"/>
        <w:jc w:val="center"/>
        <w:shd w:val="clear" w:color="auto" w:fill="auto"/>
        <w:tblLayout w:type="fixed"/>
        <w:tblCellMar>
          <w:top w:w="0" w:type="dxa"/>
          <w:left w:w="0" w:type="dxa"/>
          <w:bottom w:w="0" w:type="dxa"/>
          <w:right w:w="0" w:type="dxa"/>
        </w:tblCellMar>
      </w:tblPr>
      <w:tblGrid>
        <w:gridCol w:w="570"/>
        <w:gridCol w:w="1022"/>
        <w:gridCol w:w="3136"/>
        <w:gridCol w:w="682"/>
        <w:gridCol w:w="886"/>
        <w:gridCol w:w="859"/>
        <w:gridCol w:w="1241"/>
        <w:gridCol w:w="532"/>
        <w:gridCol w:w="641"/>
        <w:gridCol w:w="491"/>
      </w:tblGrid>
      <w:tr>
        <w:tblPrEx>
          <w:shd w:val="clear" w:color="auto" w:fill="auto"/>
          <w:tblCellMar>
            <w:top w:w="0" w:type="dxa"/>
            <w:left w:w="0" w:type="dxa"/>
            <w:bottom w:w="0" w:type="dxa"/>
            <w:right w:w="0" w:type="dxa"/>
          </w:tblCellMar>
        </w:tblPrEx>
        <w:trPr>
          <w:trHeight w:val="27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序号</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分部分项工程名称</w:t>
            </w:r>
          </w:p>
        </w:tc>
        <w:tc>
          <w:tcPr>
            <w:tcW w:w="31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项目特征及主要工程内容</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暂定工程量</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限价（含税）</w:t>
            </w:r>
          </w:p>
        </w:tc>
        <w:tc>
          <w:tcPr>
            <w:tcW w:w="117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报价（含税）</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7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1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w:t>
            </w:r>
          </w:p>
        </w:tc>
        <w:tc>
          <w:tcPr>
            <w:tcW w:w="5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w:t>
            </w:r>
          </w:p>
        </w:tc>
        <w:tc>
          <w:tcPr>
            <w:tcW w:w="4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道路土石方</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清表土方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机械就场地±30cm就地推平、挖填，不含土方外运、二次倒运等费用。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7974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6.67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53186.58</w:t>
            </w:r>
          </w:p>
        </w:tc>
        <w:tc>
          <w:tcPr>
            <w:tcW w:w="5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挖一般土方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机械开挖综合土，含场内1km倒运。</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900600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特殊路基处理，含8%石灰含量，人工搅拌，机械开挖、回填碾压</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620375</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原土回填，含场内倒运</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8.04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209.04</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余方弃置</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方如现场可以测量虚方工程量时按测量方量计算；不能测出具体工程量时，按挖方工程量扣减回填土方工程量及相应埋入构件体积后乘1.22系数计算虚方工程量。运距暂按6km计算，如后期现场超出6km运距需双方确认每增加1km费用，按累加方式计算综合单价。</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80284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5.85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469661.4</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弃方超运（土石）(1km)</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包括土方机械运输、便道养护、卸车、推平、弃土场沟槽开挖、埋水泥管、安全文明施工等一切有关的作业。</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m³/km</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80284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120426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土工布</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土工布铺设</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7.32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排水管网</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挖沟槽土方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机械开挖、边坡整理、坑底夯实，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坡比按图纸设计要求，含场内1km倒运。</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72844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852274.8</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沟槽填方（原土）</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利用方机械分层回填、压实度达到设计图纸及相应规范要求。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68848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14.63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1007246.24</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余方弃置</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方如现场可以测量虚方工程量时按测量方量计算；不能测出具体工程量时，按挖方工程量扣减回填土方工程量及相应埋入构件体积后乘1.22系数计算虚方工程量。运距暂按6km计算，如后期现场超出6km运距需双方确认每增加1km费用，按累加方式计算综合单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5.85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29694.6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检查井周围填方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3:7灰土回填管道井四周分层回填、压实度达到设计图纸及相应规范要求。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314800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电力通信土建工程-土石方</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挖沟槽土方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综合土类，挖土深度:2m以内</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19744.97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231016.15</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原土回填，含场内倒运</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2906.04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12.93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37575.1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细沙，含材料费，密实度满足设计及规范要求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276.94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231865.25</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8%石灰土，人工搅拌、夯实，密实度满足设计及规范要求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10128.57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354499.95</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余方弃置</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方如现场可以测量虚方工程量时按测量方量计算；不能测出具体工程量时，按挖方工程量扣减回填土方工程量及相应埋入构件体积后乘1.22系数计算虚方工程量。运距暂按6km计算，如后期现场超出6km运距需双方确认每增加1km费用，按累加方式计算综合单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9175.19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5.85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53674.86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照明土建工程-土石方</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挖沟槽土方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综合土类，挖土深度:2m以内</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2466.68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28860.16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挖基坑土方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综合类土，挖土深度:4米以内</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524.53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11.70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6137</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原土回填，含场内倒运</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12.93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21359.07</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填方</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细沙，含材料费，密实度满足设计及规范要求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160.81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276.94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44534.72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余方弃置</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方如现场可以测量虚方工程量时按测量方量计算；不能测出具体工程量时，按挖方工程量扣减回填土方工程量及相应埋入构件体积后乘1.22系数计算虚方工程量。运距暂按6km计算，如后期现场超出6km运距需双方确认每增加1km费用，按累加方式计算综合单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5.85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3480.75</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金额合计</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5381732.87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left"/>
        <w:rPr>
          <w:rFonts w:hint="eastAsia" w:ascii="宋体" w:hAnsi="宋体" w:cs="宋体"/>
          <w:sz w:val="22"/>
          <w:szCs w:val="22"/>
          <w:highlight w:val="none"/>
        </w:rPr>
      </w:pPr>
    </w:p>
    <w:bookmarkEnd w:id="124"/>
    <w:bookmarkEnd w:id="125"/>
    <w:bookmarkEnd w:id="126"/>
    <w:bookmarkEnd w:id="127"/>
    <w:bookmarkEnd w:id="128"/>
    <w:bookmarkEnd w:id="129"/>
    <w:bookmarkEnd w:id="130"/>
    <w:bookmarkEnd w:id="131"/>
    <w:p>
      <w:pPr>
        <w:ind w:firstLine="0" w:firstLineChars="0"/>
        <w:jc w:val="left"/>
        <w:rPr>
          <w:rFonts w:hint="eastAsia" w:ascii="宋体" w:hAnsi="宋体" w:eastAsia="宋体" w:cs="宋体"/>
          <w:sz w:val="28"/>
          <w:szCs w:val="28"/>
        </w:rPr>
      </w:pPr>
      <w:r>
        <w:rPr>
          <w:rFonts w:hint="eastAsia" w:ascii="宋体" w:hAnsi="宋体"/>
          <w:sz w:val="28"/>
          <w:szCs w:val="28"/>
        </w:rPr>
        <w:t>注：</w:t>
      </w:r>
      <w:r>
        <w:rPr>
          <w:rFonts w:hint="eastAsia" w:ascii="宋体" w:hAnsi="宋体" w:eastAsia="宋体" w:cs="宋体"/>
          <w:sz w:val="28"/>
          <w:szCs w:val="28"/>
        </w:rPr>
        <w:t>说明</w:t>
      </w:r>
      <w:r>
        <w:rPr>
          <w:rFonts w:hint="eastAsia" w:ascii="宋体" w:hAnsi="宋体" w:eastAsia="宋体" w:cs="宋体"/>
          <w:sz w:val="28"/>
          <w:szCs w:val="28"/>
          <w:lang w:val="en-US" w:eastAsia="zh-CN"/>
        </w:rPr>
        <w:t>:以上单价包</w:t>
      </w:r>
      <w:r>
        <w:rPr>
          <w:rFonts w:hint="eastAsia" w:ascii="宋体" w:hAnsi="宋体" w:eastAsia="宋体" w:cs="宋体"/>
          <w:sz w:val="28"/>
          <w:szCs w:val="28"/>
        </w:rPr>
        <w:t>含人材机、安全文明施工费、</w:t>
      </w:r>
      <w:r>
        <w:rPr>
          <w:rFonts w:hint="eastAsia" w:ascii="宋体" w:hAnsi="宋体" w:eastAsia="宋体" w:cs="宋体"/>
          <w:sz w:val="28"/>
          <w:szCs w:val="28"/>
          <w:lang w:eastAsia="zh-CN"/>
        </w:rPr>
        <w:t>燃油费、</w:t>
      </w:r>
      <w:r>
        <w:rPr>
          <w:rFonts w:hint="eastAsia" w:ascii="宋体" w:hAnsi="宋体" w:eastAsia="宋体" w:cs="宋体"/>
          <w:sz w:val="28"/>
          <w:szCs w:val="28"/>
        </w:rPr>
        <w:t>管理费、利润、税金（税率为9%）、风险费用等</w:t>
      </w:r>
      <w:r>
        <w:rPr>
          <w:rFonts w:hint="eastAsia" w:ascii="宋体" w:hAnsi="宋体" w:eastAsia="宋体" w:cs="宋体"/>
          <w:sz w:val="28"/>
          <w:szCs w:val="28"/>
          <w:lang w:eastAsia="zh-CN"/>
        </w:rPr>
        <w:t>一切相关费用</w:t>
      </w:r>
      <w:r>
        <w:rPr>
          <w:rFonts w:hint="eastAsia" w:ascii="宋体" w:hAnsi="宋体" w:eastAsia="宋体" w:cs="宋体"/>
          <w:sz w:val="28"/>
          <w:szCs w:val="28"/>
        </w:rPr>
        <w:t>。</w:t>
      </w:r>
    </w:p>
    <w:p>
      <w:pPr>
        <w:ind w:firstLine="3640" w:firstLineChars="1300"/>
        <w:rPr>
          <w:rFonts w:hint="eastAsia" w:ascii="宋体" w:hAnsi="宋体"/>
          <w:sz w:val="28"/>
          <w:szCs w:val="28"/>
          <w:highlight w:val="none"/>
        </w:rPr>
      </w:pP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36"/>
          <w:szCs w:val="36"/>
          <w:highlight w:val="none"/>
        </w:rPr>
      </w:pPr>
      <w:r>
        <w:rPr>
          <w:rFonts w:hint="eastAsia" w:ascii="Calibri" w:hAnsi="Calibri" w:eastAsia="宋体" w:cs="宋体"/>
          <w:b/>
          <w:bCs/>
          <w:color w:val="auto"/>
          <w:w w:val="90"/>
          <w:sz w:val="36"/>
          <w:szCs w:val="36"/>
          <w:highlight w:val="none"/>
          <w:lang w:val="en-US" w:eastAsia="zh-CN"/>
        </w:rPr>
        <w:t xml:space="preserve">蒲城县城南新区（东区）公共文体服务中心及基础设施建设项目一期工程总承包（EPC）项目开元街土石方专业分包2 </w:t>
      </w:r>
      <w:r>
        <w:rPr>
          <w:rFonts w:hint="eastAsia" w:ascii="Calibri" w:hAnsi="Calibri" w:eastAsia="宋体" w:cs="宋体"/>
          <w:b/>
          <w:bCs/>
          <w:w w:val="90"/>
          <w:sz w:val="36"/>
          <w:szCs w:val="36"/>
          <w:highlight w:val="none"/>
          <w:lang w:eastAsia="zh-CN"/>
        </w:rPr>
        <w:t>单位招采</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highlight w:val="none"/>
          <w:u w:val="single"/>
          <w:lang w:val="en-US" w:eastAsia="zh-CN"/>
        </w:rPr>
        <w:t>2021-01-1003</w:t>
      </w:r>
      <w:r>
        <w:rPr>
          <w:rFonts w:hint="eastAsia" w:ascii="Calibri" w:hAnsi="Calibri" w:eastAsia="宋体" w:cs="宋体"/>
          <w:b/>
          <w:sz w:val="32"/>
          <w:szCs w:val="32"/>
          <w:u w:val="single"/>
          <w:lang w:val="en-US" w:eastAsia="zh-CN"/>
        </w:rPr>
        <w:t xml:space="preserve"> </w:t>
      </w:r>
      <w:r>
        <w:rPr>
          <w:rFonts w:hint="eastAsia" w:ascii="Calibri" w:hAnsi="Calibri" w:eastAsia="宋体" w:cs="宋体"/>
          <w:b/>
          <w:sz w:val="32"/>
          <w:szCs w:val="32"/>
          <w:u w:val="single"/>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highlight w:val="none"/>
        </w:rPr>
      </w:pPr>
    </w:p>
    <w:p>
      <w:pPr>
        <w:adjustRightInd w:val="0"/>
        <w:snapToGrid w:val="0"/>
        <w:spacing w:line="560" w:lineRule="exact"/>
        <w:jc w:val="left"/>
        <w:rPr>
          <w:b/>
          <w:sz w:val="32"/>
          <w:szCs w:val="32"/>
          <w:highlight w:val="none"/>
        </w:rPr>
      </w:pPr>
    </w:p>
    <w:p>
      <w:pPr>
        <w:rPr>
          <w:highlight w:val="none"/>
        </w:rPr>
      </w:pPr>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B5CF1"/>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86F57"/>
    <w:rsid w:val="01CC3C00"/>
    <w:rsid w:val="01F1317C"/>
    <w:rsid w:val="0331682D"/>
    <w:rsid w:val="03643C29"/>
    <w:rsid w:val="03C70090"/>
    <w:rsid w:val="04537A17"/>
    <w:rsid w:val="058C3C98"/>
    <w:rsid w:val="05A12D70"/>
    <w:rsid w:val="05F978C3"/>
    <w:rsid w:val="063B1841"/>
    <w:rsid w:val="063D7520"/>
    <w:rsid w:val="07551FF2"/>
    <w:rsid w:val="076607A0"/>
    <w:rsid w:val="080747BF"/>
    <w:rsid w:val="08A21CCC"/>
    <w:rsid w:val="098C29AE"/>
    <w:rsid w:val="0A121BA9"/>
    <w:rsid w:val="0A276CF1"/>
    <w:rsid w:val="0A5160E5"/>
    <w:rsid w:val="0AEB5542"/>
    <w:rsid w:val="0AF86923"/>
    <w:rsid w:val="0BA02509"/>
    <w:rsid w:val="0BC822D3"/>
    <w:rsid w:val="0C1C40B9"/>
    <w:rsid w:val="0C7D0BA0"/>
    <w:rsid w:val="0C87196C"/>
    <w:rsid w:val="0CE33E09"/>
    <w:rsid w:val="0D2903B3"/>
    <w:rsid w:val="0D2F0508"/>
    <w:rsid w:val="0D9969A2"/>
    <w:rsid w:val="0DAC05EB"/>
    <w:rsid w:val="0E093356"/>
    <w:rsid w:val="0E8779C7"/>
    <w:rsid w:val="0EC048DF"/>
    <w:rsid w:val="0EEE1C77"/>
    <w:rsid w:val="0F202574"/>
    <w:rsid w:val="0F883FCB"/>
    <w:rsid w:val="0F897A30"/>
    <w:rsid w:val="0F8C5DFC"/>
    <w:rsid w:val="0F9F0A21"/>
    <w:rsid w:val="10804EF7"/>
    <w:rsid w:val="10BE0677"/>
    <w:rsid w:val="119C0C20"/>
    <w:rsid w:val="119C329D"/>
    <w:rsid w:val="11B04516"/>
    <w:rsid w:val="128E15C9"/>
    <w:rsid w:val="12930DAE"/>
    <w:rsid w:val="12C216A0"/>
    <w:rsid w:val="12EB427C"/>
    <w:rsid w:val="13135F99"/>
    <w:rsid w:val="13376915"/>
    <w:rsid w:val="13884ED8"/>
    <w:rsid w:val="138D55CF"/>
    <w:rsid w:val="140C31F6"/>
    <w:rsid w:val="151E7035"/>
    <w:rsid w:val="15905B94"/>
    <w:rsid w:val="15977186"/>
    <w:rsid w:val="15E36240"/>
    <w:rsid w:val="16225CA4"/>
    <w:rsid w:val="16CD3AA8"/>
    <w:rsid w:val="17672E6D"/>
    <w:rsid w:val="179F23F1"/>
    <w:rsid w:val="17A05511"/>
    <w:rsid w:val="17A12E6C"/>
    <w:rsid w:val="17F53618"/>
    <w:rsid w:val="18862194"/>
    <w:rsid w:val="18E810AC"/>
    <w:rsid w:val="19261C71"/>
    <w:rsid w:val="1A166266"/>
    <w:rsid w:val="1A842CE9"/>
    <w:rsid w:val="1A8F2AE9"/>
    <w:rsid w:val="1B1208B1"/>
    <w:rsid w:val="1B3E0003"/>
    <w:rsid w:val="1B8A0199"/>
    <w:rsid w:val="1B993684"/>
    <w:rsid w:val="1BBB2CD6"/>
    <w:rsid w:val="1BC76B49"/>
    <w:rsid w:val="1BCD74AD"/>
    <w:rsid w:val="1BDF0BBF"/>
    <w:rsid w:val="1C001EA2"/>
    <w:rsid w:val="1CA26100"/>
    <w:rsid w:val="1D0141A5"/>
    <w:rsid w:val="1DE9282D"/>
    <w:rsid w:val="1DFF5EB0"/>
    <w:rsid w:val="1E116E3D"/>
    <w:rsid w:val="1E521740"/>
    <w:rsid w:val="1E612D08"/>
    <w:rsid w:val="1F5C6568"/>
    <w:rsid w:val="2048163B"/>
    <w:rsid w:val="204943B2"/>
    <w:rsid w:val="2063437F"/>
    <w:rsid w:val="20A712EA"/>
    <w:rsid w:val="215701CF"/>
    <w:rsid w:val="220B5951"/>
    <w:rsid w:val="22564BEA"/>
    <w:rsid w:val="22602402"/>
    <w:rsid w:val="2290450F"/>
    <w:rsid w:val="230D5302"/>
    <w:rsid w:val="230F4BBC"/>
    <w:rsid w:val="23125D7D"/>
    <w:rsid w:val="237233CB"/>
    <w:rsid w:val="23A8331E"/>
    <w:rsid w:val="23B57168"/>
    <w:rsid w:val="23C35C44"/>
    <w:rsid w:val="23E30653"/>
    <w:rsid w:val="24423AD3"/>
    <w:rsid w:val="2459385A"/>
    <w:rsid w:val="248D3585"/>
    <w:rsid w:val="249E0FF5"/>
    <w:rsid w:val="24B02A38"/>
    <w:rsid w:val="24E71476"/>
    <w:rsid w:val="2519272F"/>
    <w:rsid w:val="253321E3"/>
    <w:rsid w:val="264A476F"/>
    <w:rsid w:val="26733242"/>
    <w:rsid w:val="26A45FEA"/>
    <w:rsid w:val="26B73D17"/>
    <w:rsid w:val="27AD2F6E"/>
    <w:rsid w:val="27E93EC6"/>
    <w:rsid w:val="29533DC6"/>
    <w:rsid w:val="29E32F40"/>
    <w:rsid w:val="2ABE232D"/>
    <w:rsid w:val="2B907A74"/>
    <w:rsid w:val="2C3F65FE"/>
    <w:rsid w:val="2C7B38ED"/>
    <w:rsid w:val="2C7D6E2E"/>
    <w:rsid w:val="2CF138CE"/>
    <w:rsid w:val="2D1F3439"/>
    <w:rsid w:val="2D517F39"/>
    <w:rsid w:val="2D952F6E"/>
    <w:rsid w:val="2D960C14"/>
    <w:rsid w:val="2D9C5E1F"/>
    <w:rsid w:val="2E385C20"/>
    <w:rsid w:val="2F242356"/>
    <w:rsid w:val="2F434B27"/>
    <w:rsid w:val="300E1E50"/>
    <w:rsid w:val="30CC1EB4"/>
    <w:rsid w:val="31F177B0"/>
    <w:rsid w:val="323067E7"/>
    <w:rsid w:val="32953579"/>
    <w:rsid w:val="32C1163E"/>
    <w:rsid w:val="32D41A23"/>
    <w:rsid w:val="337E4ED7"/>
    <w:rsid w:val="33842054"/>
    <w:rsid w:val="33A2299A"/>
    <w:rsid w:val="33F00908"/>
    <w:rsid w:val="347E5F46"/>
    <w:rsid w:val="357E1DD2"/>
    <w:rsid w:val="35A55456"/>
    <w:rsid w:val="35BD194F"/>
    <w:rsid w:val="36030CFE"/>
    <w:rsid w:val="36056E7E"/>
    <w:rsid w:val="36372BEB"/>
    <w:rsid w:val="36C764F5"/>
    <w:rsid w:val="374054AA"/>
    <w:rsid w:val="378A1DC0"/>
    <w:rsid w:val="37B949D5"/>
    <w:rsid w:val="38385682"/>
    <w:rsid w:val="39B92B99"/>
    <w:rsid w:val="3A1E0E6E"/>
    <w:rsid w:val="3A367996"/>
    <w:rsid w:val="3A510B03"/>
    <w:rsid w:val="3A8C5BF7"/>
    <w:rsid w:val="3A944FC6"/>
    <w:rsid w:val="3AFC5472"/>
    <w:rsid w:val="3C5C1D16"/>
    <w:rsid w:val="3C9729C8"/>
    <w:rsid w:val="3CA1617E"/>
    <w:rsid w:val="3CA54849"/>
    <w:rsid w:val="3D6F1491"/>
    <w:rsid w:val="3D9A74CB"/>
    <w:rsid w:val="3DF273F6"/>
    <w:rsid w:val="3F8F027E"/>
    <w:rsid w:val="408465D1"/>
    <w:rsid w:val="40BA2898"/>
    <w:rsid w:val="40FA6DCC"/>
    <w:rsid w:val="412C0155"/>
    <w:rsid w:val="41BA675D"/>
    <w:rsid w:val="41DF3752"/>
    <w:rsid w:val="4244581C"/>
    <w:rsid w:val="429C4BB2"/>
    <w:rsid w:val="42B3753D"/>
    <w:rsid w:val="42FA6813"/>
    <w:rsid w:val="43712B16"/>
    <w:rsid w:val="439336BC"/>
    <w:rsid w:val="445653C0"/>
    <w:rsid w:val="44DF244D"/>
    <w:rsid w:val="45375669"/>
    <w:rsid w:val="459F4073"/>
    <w:rsid w:val="466A2711"/>
    <w:rsid w:val="46802B88"/>
    <w:rsid w:val="46977388"/>
    <w:rsid w:val="4699166D"/>
    <w:rsid w:val="46CD2D9F"/>
    <w:rsid w:val="46EA5A39"/>
    <w:rsid w:val="47005318"/>
    <w:rsid w:val="470E1013"/>
    <w:rsid w:val="47600B29"/>
    <w:rsid w:val="48F422C6"/>
    <w:rsid w:val="48F812ED"/>
    <w:rsid w:val="493F0704"/>
    <w:rsid w:val="49803B91"/>
    <w:rsid w:val="4A026112"/>
    <w:rsid w:val="4A037C85"/>
    <w:rsid w:val="4A1A2277"/>
    <w:rsid w:val="4A3C454D"/>
    <w:rsid w:val="4A6661C3"/>
    <w:rsid w:val="4AC2086B"/>
    <w:rsid w:val="4AE86C89"/>
    <w:rsid w:val="4B0A0336"/>
    <w:rsid w:val="4B271FF1"/>
    <w:rsid w:val="4BA542DC"/>
    <w:rsid w:val="4C9E56C7"/>
    <w:rsid w:val="4CD4303E"/>
    <w:rsid w:val="4D011BD8"/>
    <w:rsid w:val="4D052A34"/>
    <w:rsid w:val="4D37178C"/>
    <w:rsid w:val="4D6233F6"/>
    <w:rsid w:val="4DF76D7D"/>
    <w:rsid w:val="4E346989"/>
    <w:rsid w:val="4E4F4393"/>
    <w:rsid w:val="4E785092"/>
    <w:rsid w:val="4EAA4A00"/>
    <w:rsid w:val="4ED50551"/>
    <w:rsid w:val="4F472660"/>
    <w:rsid w:val="4F987F8C"/>
    <w:rsid w:val="4F9D135B"/>
    <w:rsid w:val="4FC96CF4"/>
    <w:rsid w:val="4FE311F5"/>
    <w:rsid w:val="502531D8"/>
    <w:rsid w:val="50E75EE0"/>
    <w:rsid w:val="50EE4670"/>
    <w:rsid w:val="50F42DD2"/>
    <w:rsid w:val="51352880"/>
    <w:rsid w:val="51535336"/>
    <w:rsid w:val="518A79A8"/>
    <w:rsid w:val="519C16C4"/>
    <w:rsid w:val="52811433"/>
    <w:rsid w:val="5298273F"/>
    <w:rsid w:val="53E15E09"/>
    <w:rsid w:val="54075173"/>
    <w:rsid w:val="54540D89"/>
    <w:rsid w:val="546F2D5D"/>
    <w:rsid w:val="54E51BCF"/>
    <w:rsid w:val="54EE18E4"/>
    <w:rsid w:val="555A7092"/>
    <w:rsid w:val="5654501D"/>
    <w:rsid w:val="568E4E0A"/>
    <w:rsid w:val="56DF2795"/>
    <w:rsid w:val="56F90CAF"/>
    <w:rsid w:val="57E74708"/>
    <w:rsid w:val="57E8649D"/>
    <w:rsid w:val="58175555"/>
    <w:rsid w:val="58923ADF"/>
    <w:rsid w:val="589D41C1"/>
    <w:rsid w:val="58C67C45"/>
    <w:rsid w:val="58CA093F"/>
    <w:rsid w:val="59165EC7"/>
    <w:rsid w:val="592D145D"/>
    <w:rsid w:val="59603D6F"/>
    <w:rsid w:val="5A4C3238"/>
    <w:rsid w:val="5A5F44E4"/>
    <w:rsid w:val="5B3257BD"/>
    <w:rsid w:val="5B961925"/>
    <w:rsid w:val="5BE6574E"/>
    <w:rsid w:val="5CF6578A"/>
    <w:rsid w:val="5D0122EF"/>
    <w:rsid w:val="5D285253"/>
    <w:rsid w:val="5DA372BC"/>
    <w:rsid w:val="5DB437BE"/>
    <w:rsid w:val="5EA246CE"/>
    <w:rsid w:val="5F31265B"/>
    <w:rsid w:val="5F9751BF"/>
    <w:rsid w:val="5FBB00EB"/>
    <w:rsid w:val="5FDD423F"/>
    <w:rsid w:val="5FE963FA"/>
    <w:rsid w:val="60311028"/>
    <w:rsid w:val="60936296"/>
    <w:rsid w:val="61155C32"/>
    <w:rsid w:val="622207D5"/>
    <w:rsid w:val="627915C9"/>
    <w:rsid w:val="627E0E8F"/>
    <w:rsid w:val="63993EAB"/>
    <w:rsid w:val="64B8379D"/>
    <w:rsid w:val="64BB2A7A"/>
    <w:rsid w:val="64E94BF3"/>
    <w:rsid w:val="6556239F"/>
    <w:rsid w:val="6593279F"/>
    <w:rsid w:val="65A255AA"/>
    <w:rsid w:val="66AA5290"/>
    <w:rsid w:val="66BE6ED0"/>
    <w:rsid w:val="66F933D6"/>
    <w:rsid w:val="674721C7"/>
    <w:rsid w:val="684B5A0A"/>
    <w:rsid w:val="687065EF"/>
    <w:rsid w:val="68E62CD7"/>
    <w:rsid w:val="69553127"/>
    <w:rsid w:val="69936685"/>
    <w:rsid w:val="6A351234"/>
    <w:rsid w:val="6A37639E"/>
    <w:rsid w:val="6A5E31DE"/>
    <w:rsid w:val="6AD34B19"/>
    <w:rsid w:val="6AFE335A"/>
    <w:rsid w:val="6B0A51FC"/>
    <w:rsid w:val="6B2350A6"/>
    <w:rsid w:val="6B726FC0"/>
    <w:rsid w:val="6B8D6E24"/>
    <w:rsid w:val="6BDF0103"/>
    <w:rsid w:val="6BF92C8F"/>
    <w:rsid w:val="6C767DDE"/>
    <w:rsid w:val="6CA470BB"/>
    <w:rsid w:val="6D3F6DE6"/>
    <w:rsid w:val="6E6E6E3E"/>
    <w:rsid w:val="6EC66E88"/>
    <w:rsid w:val="6F991133"/>
    <w:rsid w:val="70F9192E"/>
    <w:rsid w:val="714C2F47"/>
    <w:rsid w:val="715F2D1C"/>
    <w:rsid w:val="71BD383E"/>
    <w:rsid w:val="71E107CB"/>
    <w:rsid w:val="7212298B"/>
    <w:rsid w:val="72D91A28"/>
    <w:rsid w:val="733E7B7A"/>
    <w:rsid w:val="73D05BB5"/>
    <w:rsid w:val="740059EF"/>
    <w:rsid w:val="740268FD"/>
    <w:rsid w:val="741A23B4"/>
    <w:rsid w:val="74685BF6"/>
    <w:rsid w:val="74A5717F"/>
    <w:rsid w:val="74DE6B01"/>
    <w:rsid w:val="75062EBF"/>
    <w:rsid w:val="752D7DD7"/>
    <w:rsid w:val="76781C65"/>
    <w:rsid w:val="76AC34F6"/>
    <w:rsid w:val="76D13A66"/>
    <w:rsid w:val="773918AE"/>
    <w:rsid w:val="77AD2FD5"/>
    <w:rsid w:val="7802441D"/>
    <w:rsid w:val="780B7B98"/>
    <w:rsid w:val="785E0132"/>
    <w:rsid w:val="78AE5380"/>
    <w:rsid w:val="78CC1BA3"/>
    <w:rsid w:val="78DF169B"/>
    <w:rsid w:val="795B5BD3"/>
    <w:rsid w:val="79635CCA"/>
    <w:rsid w:val="798448C3"/>
    <w:rsid w:val="79EA7DC3"/>
    <w:rsid w:val="7A112FD8"/>
    <w:rsid w:val="7A54611B"/>
    <w:rsid w:val="7A7E543C"/>
    <w:rsid w:val="7AB55436"/>
    <w:rsid w:val="7AC54C16"/>
    <w:rsid w:val="7AF335F8"/>
    <w:rsid w:val="7AF958CA"/>
    <w:rsid w:val="7B5613CF"/>
    <w:rsid w:val="7B65151E"/>
    <w:rsid w:val="7B992D71"/>
    <w:rsid w:val="7C1709B7"/>
    <w:rsid w:val="7C600037"/>
    <w:rsid w:val="7CAC0A6E"/>
    <w:rsid w:val="7D2E255B"/>
    <w:rsid w:val="7D3816DE"/>
    <w:rsid w:val="7D4C62CA"/>
    <w:rsid w:val="7DD62379"/>
    <w:rsid w:val="7E330FA6"/>
    <w:rsid w:val="7E4336B9"/>
    <w:rsid w:val="7E783708"/>
    <w:rsid w:val="7F1F2188"/>
    <w:rsid w:val="7F463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11"/>
    <w:basedOn w:val="14"/>
    <w:qFormat/>
    <w:uiPriority w:val="0"/>
    <w:rPr>
      <w:rFonts w:hint="eastAsia" w:ascii="宋体" w:hAnsi="宋体" w:eastAsia="宋体" w:cs="宋体"/>
      <w:color w:val="000000"/>
      <w:sz w:val="18"/>
      <w:szCs w:val="18"/>
      <w:u w:val="none"/>
    </w:rPr>
  </w:style>
  <w:style w:type="character" w:customStyle="1" w:styleId="37">
    <w:name w:val="font01"/>
    <w:basedOn w:val="14"/>
    <w:qFormat/>
    <w:uiPriority w:val="0"/>
    <w:rPr>
      <w:rFonts w:hint="eastAsia" w:ascii="宋体" w:hAnsi="宋体" w:eastAsia="宋体" w:cs="宋体"/>
      <w:i/>
      <w:color w:val="000000"/>
      <w:sz w:val="18"/>
      <w:szCs w:val="18"/>
      <w:u w:val="none"/>
    </w:rPr>
  </w:style>
  <w:style w:type="character" w:customStyle="1" w:styleId="38">
    <w:name w:val="font21"/>
    <w:basedOn w:val="14"/>
    <w:qFormat/>
    <w:uiPriority w:val="0"/>
    <w:rPr>
      <w:rFonts w:hint="eastAsia" w:ascii="宋体" w:hAnsi="宋体" w:eastAsia="宋体" w:cs="宋体"/>
      <w:color w:val="000000"/>
      <w:sz w:val="18"/>
      <w:szCs w:val="18"/>
      <w:u w:val="none"/>
    </w:rPr>
  </w:style>
  <w:style w:type="character" w:customStyle="1" w:styleId="39">
    <w:name w:val="font61"/>
    <w:basedOn w:val="14"/>
    <w:qFormat/>
    <w:uiPriority w:val="0"/>
    <w:rPr>
      <w:rFonts w:hint="eastAsia" w:ascii="宋体" w:hAnsi="宋体" w:eastAsia="宋体" w:cs="宋体"/>
      <w:i/>
      <w:color w:val="000000"/>
      <w:sz w:val="18"/>
      <w:szCs w:val="18"/>
      <w:u w:val="none"/>
    </w:rPr>
  </w:style>
  <w:style w:type="character" w:customStyle="1" w:styleId="40">
    <w:name w:val="font51"/>
    <w:basedOn w:val="14"/>
    <w:qFormat/>
    <w:uiPriority w:val="0"/>
    <w:rPr>
      <w:rFonts w:hint="eastAsia" w:ascii="宋体" w:hAnsi="宋体" w:eastAsia="宋体" w:cs="宋体"/>
      <w:color w:val="000000"/>
      <w:sz w:val="22"/>
      <w:szCs w:val="22"/>
      <w:u w:val="none"/>
    </w:rPr>
  </w:style>
  <w:style w:type="character" w:customStyle="1" w:styleId="41">
    <w:name w:val="font3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0</TotalTime>
  <ScaleCrop>false</ScaleCrop>
  <LinksUpToDate>false</LinksUpToDate>
  <CharactersWithSpaces>14081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2019-07-30T03:33:00Z</cp:lastPrinted>
  <dcterms:modified xsi:type="dcterms:W3CDTF">2021-01-25T09:19:39Z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