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Times New Roman"/>
          <w:b/>
          <w:sz w:val="44"/>
          <w:szCs w:val="44"/>
          <w:lang w:eastAsia="zh-CN"/>
        </w:rPr>
      </w:pPr>
      <w:r>
        <w:rPr>
          <w:rFonts w:hint="eastAsia" w:ascii="黑体" w:hAnsi="宋体" w:eastAsia="黑体" w:cs="Times New Roman"/>
          <w:b/>
          <w:sz w:val="44"/>
          <w:szCs w:val="44"/>
          <w:lang w:eastAsia="zh-CN"/>
        </w:rPr>
        <w:t>重庆对外建设（集团）有限公司</w:t>
      </w:r>
    </w:p>
    <w:p>
      <w:pPr>
        <w:tabs>
          <w:tab w:val="left" w:pos="670"/>
          <w:tab w:val="center" w:pos="4252"/>
        </w:tabs>
        <w:spacing w:line="360" w:lineRule="auto"/>
        <w:jc w:val="center"/>
        <w:outlineLvl w:val="3"/>
        <w:rPr>
          <w:rFonts w:hint="eastAsia" w:ascii="黑体" w:hAnsi="宋体" w:eastAsia="黑体" w:cs="Times New Roman"/>
          <w:b/>
          <w:sz w:val="44"/>
          <w:szCs w:val="44"/>
        </w:rPr>
      </w:pPr>
      <w:r>
        <w:rPr>
          <w:rFonts w:hint="eastAsia" w:ascii="黑体" w:hAnsi="宋体" w:eastAsia="黑体"/>
          <w:b/>
          <w:sz w:val="44"/>
          <w:szCs w:val="44"/>
          <w:lang w:val="en-US" w:eastAsia="zh-CN"/>
        </w:rPr>
        <w:t>ABB项目南侧</w:t>
      </w:r>
      <w:r>
        <w:rPr>
          <w:rFonts w:hint="eastAsia" w:ascii="黑体" w:hAnsi="宋体" w:eastAsia="黑体"/>
          <w:b/>
          <w:sz w:val="44"/>
          <w:szCs w:val="44"/>
        </w:rPr>
        <w:t>道路工程</w:t>
      </w:r>
    </w:p>
    <w:p>
      <w:pPr>
        <w:tabs>
          <w:tab w:val="left" w:pos="670"/>
          <w:tab w:val="center" w:pos="4252"/>
        </w:tabs>
        <w:adjustRightInd/>
        <w:snapToGrid/>
        <w:spacing w:line="360" w:lineRule="auto"/>
        <w:ind w:left="0" w:leftChars="0"/>
        <w:jc w:val="center"/>
        <w:outlineLvl w:val="3"/>
        <w:rPr>
          <w:rFonts w:hint="eastAsia" w:ascii="黑体" w:hAnsi="宋体" w:eastAsia="黑体"/>
          <w:b/>
          <w:sz w:val="44"/>
          <w:szCs w:val="44"/>
        </w:rPr>
      </w:pPr>
      <w:r>
        <w:rPr>
          <w:rFonts w:hint="eastAsia" w:ascii="黑体" w:hAnsi="宋体" w:eastAsia="黑体"/>
          <w:b/>
          <w:sz w:val="44"/>
          <w:szCs w:val="44"/>
          <w:lang w:val="en-US" w:eastAsia="zh-CN"/>
        </w:rPr>
        <w:t>砂石、水泥、防水涂料</w:t>
      </w:r>
      <w:r>
        <w:rPr>
          <w:rFonts w:hint="eastAsia" w:ascii="黑体" w:hAnsi="宋体" w:eastAsia="黑体"/>
          <w:b/>
          <w:sz w:val="44"/>
          <w:szCs w:val="44"/>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jc w:val="both"/>
        <w:rPr>
          <w:rFonts w:hint="eastAsia" w:ascii="宋体" w:hAnsi="宋体" w:cs="宋体"/>
          <w:sz w:val="28"/>
          <w:szCs w:val="28"/>
        </w:rPr>
      </w:pPr>
      <w:r>
        <w:rPr>
          <w:rFonts w:hint="eastAsia" w:ascii="宋体" w:hAnsi="宋体" w:cs="宋体"/>
          <w:sz w:val="28"/>
        </w:rPr>
        <w:t>招采文件编号：</w:t>
      </w:r>
      <w:r>
        <w:rPr>
          <w:rFonts w:hint="eastAsia" w:ascii="宋体" w:hAnsi="宋体" w:cs="宋体"/>
          <w:sz w:val="28"/>
          <w:lang w:val="en-US" w:eastAsia="zh-CN"/>
        </w:rPr>
        <w:t>2021-03-1007</w:t>
      </w:r>
    </w:p>
    <w:p>
      <w:pPr>
        <w:spacing w:line="360" w:lineRule="auto"/>
        <w:ind w:firstLine="3360" w:firstLineChars="1200"/>
        <w:jc w:val="both"/>
        <w:rPr>
          <w:rFonts w:ascii="宋体" w:hAnsi="宋体" w:cs="宋体"/>
          <w:sz w:val="32"/>
          <w:u w:val="single"/>
        </w:rPr>
      </w:pPr>
      <w:r>
        <w:rPr>
          <w:rFonts w:hint="eastAsia" w:ascii="宋体" w:hAnsi="宋体" w:cs="宋体"/>
          <w:sz w:val="28"/>
          <w:szCs w:val="28"/>
        </w:rPr>
        <w:t>20</w:t>
      </w:r>
      <w:r>
        <w:rPr>
          <w:rFonts w:hint="eastAsia" w:ascii="宋体" w:hAnsi="宋体" w:cs="宋体"/>
          <w:sz w:val="28"/>
          <w:szCs w:val="28"/>
          <w:lang w:val="en-US" w:eastAsia="zh-CN"/>
        </w:rPr>
        <w:t>21</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tabs>
          <w:tab w:val="left" w:pos="670"/>
          <w:tab w:val="center" w:pos="4252"/>
        </w:tabs>
        <w:snapToGrid/>
        <w:spacing w:line="360" w:lineRule="auto"/>
        <w:ind w:firstLine="0" w:firstLineChars="0"/>
        <w:jc w:val="left"/>
        <w:outlineLvl w:val="3"/>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bCs/>
          <w:sz w:val="28"/>
          <w:u w:val="single"/>
          <w:lang w:val="en-US" w:eastAsia="zh-CN"/>
        </w:rPr>
        <w:t>ABB项目南侧道路</w:t>
      </w:r>
      <w:r>
        <w:rPr>
          <w:rFonts w:hint="eastAsia" w:ascii="宋体" w:hAnsi="宋体" w:cs="宋体"/>
          <w:bCs/>
          <w:sz w:val="28"/>
          <w:u w:val="single"/>
        </w:rPr>
        <w:t>工程</w:t>
      </w:r>
      <w:r>
        <w:rPr>
          <w:rFonts w:hint="eastAsia" w:ascii="宋体" w:hAnsi="宋体" w:eastAsia="宋体" w:cs="宋体"/>
          <w:b w:val="0"/>
          <w:bCs/>
          <w:sz w:val="28"/>
          <w:szCs w:val="22"/>
          <w:u w:val="single"/>
          <w:lang w:val="en-US" w:eastAsia="zh-CN"/>
        </w:rPr>
        <w:t>砂石、水泥、防水涂料</w:t>
      </w:r>
      <w:r>
        <w:rPr>
          <w:rFonts w:hint="eastAsia" w:ascii="宋体" w:hAnsi="宋体" w:cs="宋体"/>
          <w:bCs/>
          <w:sz w:val="28"/>
          <w:u w:val="single"/>
          <w:lang w:val="en-US" w:eastAsia="zh-CN"/>
        </w:rPr>
        <w:t>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rPr>
      </w:pPr>
      <w:r>
        <w:rPr>
          <w:rFonts w:hint="eastAsia" w:ascii="宋体" w:hAnsi="宋体" w:cs="宋体"/>
          <w:bCs/>
          <w:color w:val="000000" w:themeColor="text1"/>
          <w:sz w:val="28"/>
        </w:rPr>
        <w:t>1、项目名称：</w:t>
      </w:r>
      <w:r>
        <w:rPr>
          <w:rFonts w:hint="eastAsia" w:ascii="宋体" w:hAnsi="宋体" w:cs="宋体"/>
          <w:bCs/>
          <w:sz w:val="28"/>
          <w:u w:val="single"/>
          <w:lang w:val="en-US" w:eastAsia="zh-CN"/>
        </w:rPr>
        <w:t>ABB项目南侧</w:t>
      </w:r>
      <w:r>
        <w:rPr>
          <w:rFonts w:hint="eastAsia" w:ascii="宋体" w:hAnsi="宋体" w:cs="宋体"/>
          <w:bCs/>
          <w:sz w:val="28"/>
          <w:u w:val="single"/>
        </w:rPr>
        <w:t>道路工程</w:t>
      </w:r>
      <w:r>
        <w:rPr>
          <w:rFonts w:hint="eastAsia" w:ascii="宋体" w:hAnsi="宋体" w:cs="宋体"/>
          <w:color w:val="000000" w:themeColor="text1"/>
          <w:sz w:val="28"/>
        </w:rPr>
        <w:t>。</w:t>
      </w:r>
    </w:p>
    <w:p>
      <w:pPr>
        <w:snapToGrid w:val="0"/>
        <w:spacing w:line="360" w:lineRule="auto"/>
        <w:ind w:firstLine="560" w:firstLineChars="200"/>
        <w:jc w:val="left"/>
        <w:rPr>
          <w:rFonts w:hint="default" w:ascii="宋体" w:hAnsi="宋体" w:cs="宋体"/>
          <w:bCs/>
          <w:color w:val="000000" w:themeColor="text1"/>
          <w:sz w:val="28"/>
          <w:lang w:val="en-US" w:eastAsia="zh-CN"/>
        </w:rPr>
      </w:pPr>
      <w:r>
        <w:rPr>
          <w:rFonts w:hint="eastAsia" w:ascii="宋体" w:hAnsi="宋体" w:cs="宋体"/>
          <w:bCs/>
          <w:color w:val="000000" w:themeColor="text1"/>
          <w:sz w:val="28"/>
        </w:rPr>
        <w:t>2、型号/技术规格、供货数量：</w:t>
      </w:r>
      <w:r>
        <w:rPr>
          <w:rFonts w:hint="eastAsia" w:ascii="宋体" w:hAnsi="宋体" w:cs="宋体"/>
          <w:bCs/>
          <w:color w:val="000000" w:themeColor="text1"/>
          <w:sz w:val="28"/>
          <w:lang w:val="en-US" w:eastAsia="zh-CN"/>
        </w:rPr>
        <w:t>水稳层使用的水泥、砂、碎石；FYT-Ⅱ防水涂料、8mm厚陶钢复合板、隧道专用防火涂料、油漆等材料。</w:t>
      </w:r>
      <w:r>
        <w:rPr>
          <w:rFonts w:hint="eastAsia" w:ascii="宋体" w:hAnsi="宋体" w:cs="宋体"/>
          <w:bCs/>
          <w:color w:val="000000" w:themeColor="text1"/>
          <w:kern w:val="2"/>
          <w:sz w:val="28"/>
          <w:lang w:val="en-US" w:eastAsia="zh-CN"/>
        </w:rPr>
        <w:t>详见投标报价表</w:t>
      </w:r>
      <w:r>
        <w:rPr>
          <w:rFonts w:hint="eastAsia" w:ascii="宋体" w:hAnsi="宋体" w:cs="宋体"/>
          <w:bCs/>
          <w:color w:val="000000" w:themeColor="text1"/>
          <w:sz w:val="28"/>
          <w:lang w:val="en-US" w:eastAsia="zh-CN"/>
        </w:rPr>
        <w:t>。</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3、供货周期：暂定</w:t>
      </w:r>
      <w:r>
        <w:rPr>
          <w:rFonts w:hint="eastAsia" w:ascii="宋体" w:hAnsi="宋体" w:cs="宋体"/>
          <w:bCs/>
          <w:color w:val="000000" w:themeColor="text1"/>
          <w:sz w:val="28"/>
          <w:lang w:val="en-US" w:eastAsia="zh-CN"/>
        </w:rPr>
        <w:t>24</w:t>
      </w:r>
      <w:r>
        <w:rPr>
          <w:rFonts w:hint="eastAsia" w:ascii="宋体" w:hAnsi="宋体" w:cs="宋体"/>
          <w:bCs/>
          <w:color w:val="000000" w:themeColor="text1"/>
          <w:sz w:val="28"/>
        </w:rPr>
        <w:t>个月</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4、供货地点：</w:t>
      </w:r>
      <w:r>
        <w:rPr>
          <w:rFonts w:hint="eastAsia" w:ascii="宋体" w:hAnsi="宋体"/>
          <w:sz w:val="28"/>
          <w:szCs w:val="28"/>
          <w:u w:val="single"/>
          <w:lang w:val="en-US" w:eastAsia="zh-CN"/>
        </w:rPr>
        <w:t>重庆两江新区鱼复工业园开发区</w:t>
      </w:r>
      <w:r>
        <w:rPr>
          <w:rFonts w:hint="eastAsia" w:ascii="宋体" w:hAnsi="宋体" w:cs="宋体"/>
          <w:bCs/>
          <w:color w:val="000000" w:themeColor="text1"/>
          <w:sz w:val="28"/>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2021年2月23日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2</w:t>
      </w:r>
      <w:r>
        <w:rPr>
          <w:rFonts w:hint="eastAsia" w:ascii="宋体" w:hAnsi="宋体" w:cs="宋体"/>
          <w:sz w:val="28"/>
          <w:u w:val="single"/>
        </w:rPr>
        <w:t>月</w:t>
      </w:r>
      <w:r>
        <w:rPr>
          <w:rFonts w:hint="eastAsia" w:ascii="宋体" w:hAnsi="宋体" w:cs="宋体"/>
          <w:sz w:val="28"/>
          <w:u w:val="single"/>
          <w:lang w:val="en-US" w:eastAsia="zh-CN"/>
        </w:rPr>
        <w:t>23</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7"/>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Theme="minorEastAsia" w:hAnsiTheme="minorEastAsia" w:eastAsiaTheme="minorEastAsia"/>
                <w:szCs w:val="21"/>
              </w:rPr>
            </w:pPr>
            <w:r>
              <w:rPr>
                <w:rFonts w:hint="eastAsia" w:ascii="宋体" w:hAnsi="宋体" w:cs="宋体"/>
                <w:color w:val="000000"/>
                <w:szCs w:val="21"/>
              </w:rPr>
              <w:t>项目：</w:t>
            </w:r>
            <w:r>
              <w:rPr>
                <w:rFonts w:hint="eastAsia" w:ascii="宋体" w:hAnsi="宋体" w:cs="宋体"/>
                <w:color w:val="000000"/>
                <w:szCs w:val="21"/>
                <w:lang w:val="en-US" w:eastAsia="zh-CN"/>
              </w:rPr>
              <w:t>ABB项目南侧道路</w:t>
            </w:r>
            <w:r>
              <w:rPr>
                <w:rFonts w:hint="eastAsia" w:asciiTheme="minorEastAsia" w:hAnsiTheme="minorEastAsia" w:eastAsiaTheme="minorEastAsia"/>
                <w:szCs w:val="21"/>
              </w:rPr>
              <w:t xml:space="preserve">工程             </w:t>
            </w:r>
          </w:p>
          <w:p>
            <w:pPr>
              <w:tabs>
                <w:tab w:val="right" w:pos="8674"/>
              </w:tabs>
              <w:snapToGrid w:val="0"/>
              <w:spacing w:line="240" w:lineRule="auto"/>
              <w:jc w:val="left"/>
              <w:rPr>
                <w:rFonts w:asciiTheme="minorEastAsia" w:hAnsiTheme="minorEastAsia" w:eastAsiaTheme="minorEastAsia"/>
                <w:szCs w:val="21"/>
              </w:rPr>
            </w:pPr>
            <w:r>
              <w:rPr>
                <w:rFonts w:hint="eastAsia" w:ascii="宋体" w:hAnsi="宋体" w:cs="宋体"/>
                <w:szCs w:val="21"/>
              </w:rPr>
              <w:t>地点：</w:t>
            </w:r>
            <w:r>
              <w:rPr>
                <w:rFonts w:hint="eastAsia" w:ascii="宋体" w:hAnsi="宋体" w:cs="宋体"/>
                <w:szCs w:val="21"/>
                <w:lang w:val="en-US" w:eastAsia="zh-CN"/>
              </w:rPr>
              <w:t>重庆两江新区鱼复工业园开发区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7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rPr>
                <w:rFonts w:ascii="宋体" w:hAnsi="宋体" w:cs="宋体"/>
                <w:color w:val="000000" w:themeColor="text1"/>
                <w:szCs w:val="21"/>
              </w:rPr>
            </w:pPr>
            <w:r>
              <w:rPr>
                <w:rFonts w:hint="eastAsia" w:ascii="宋体" w:hAnsi="宋体" w:cs="宋体"/>
                <w:color w:val="000000"/>
                <w:kern w:val="0"/>
                <w:sz w:val="24"/>
                <w:lang w:val="en-US" w:eastAsia="zh-CN"/>
              </w:rPr>
              <w:t>详见投标报价表。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供货时间</w:t>
            </w:r>
            <w:r>
              <w:rPr>
                <w:rFonts w:hint="eastAsia" w:ascii="宋体" w:hAnsi="宋体" w:cs="宋体"/>
                <w:bCs w:val="0"/>
                <w:color w:val="000000" w:themeColor="text1"/>
                <w:sz w:val="21"/>
                <w:szCs w:val="21"/>
              </w:rPr>
              <w:t>暂定</w:t>
            </w:r>
            <w:r>
              <w:rPr>
                <w:rFonts w:hint="eastAsia" w:ascii="宋体" w:hAnsi="宋体" w:cs="宋体"/>
                <w:bCs w:val="0"/>
                <w:color w:val="000000" w:themeColor="text1"/>
                <w:sz w:val="21"/>
                <w:szCs w:val="21"/>
                <w:lang w:val="en-US" w:eastAsia="zh-CN"/>
              </w:rPr>
              <w:t>24</w:t>
            </w:r>
            <w:r>
              <w:rPr>
                <w:rFonts w:hint="eastAsia" w:ascii="宋体" w:hAnsi="宋体" w:cs="宋体"/>
                <w:bCs w:val="0"/>
                <w:color w:val="000000" w:themeColor="text1"/>
                <w:sz w:val="21"/>
                <w:szCs w:val="21"/>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pPr>
            <w:r>
              <w:rPr>
                <w:rFonts w:hint="eastAsia"/>
              </w:rPr>
              <w:t>1）供应商必须是重庆对外建设（集团）有限公司合格供方库内单位，且无失信记录。</w:t>
            </w:r>
          </w:p>
          <w:p>
            <w:pPr>
              <w:snapToGrid w:val="0"/>
              <w:spacing w:line="360" w:lineRule="auto"/>
              <w:jc w:val="left"/>
              <w:rPr>
                <w:rFonts w:hint="eastAsia"/>
              </w:rPr>
            </w:pPr>
            <w:r>
              <w:rPr>
                <w:rFonts w:hint="eastAsia"/>
              </w:rPr>
              <w:t>2）营业执照经营范围包含销售建材。</w:t>
            </w:r>
          </w:p>
          <w:p>
            <w:pPr>
              <w:snapToGrid w:val="0"/>
              <w:spacing w:line="360" w:lineRule="auto"/>
              <w:jc w:val="left"/>
            </w:pPr>
            <w:r>
              <w:rPr>
                <w:rFonts w:hint="eastAsia" w:ascii="Calibri" w:hAnsi="Calibri" w:eastAsia="宋体" w:cs="Times New Roman"/>
                <w:b w:val="0"/>
                <w:bCs w:val="0"/>
                <w:sz w:val="21"/>
                <w:szCs w:val="22"/>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hint="eastAsia" w:ascii="宋体" w:hAnsi="宋体" w:cs="宋体"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635.757194万</w:t>
            </w:r>
            <w:r>
              <w:rPr>
                <w:rFonts w:hint="eastAsia" w:asciiTheme="minorEastAsia" w:hAnsiTheme="minorEastAsia" w:eastAsiaTheme="minorEastAsia"/>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暂定</w:t>
            </w:r>
            <w:r>
              <w:rPr>
                <w:rFonts w:hint="eastAsia" w:ascii="宋体" w:hAnsi="宋体" w:cs="宋体"/>
                <w:color w:val="000000" w:themeColor="text1"/>
                <w:szCs w:val="21"/>
                <w:lang w:val="en-US" w:eastAsia="zh-CN"/>
              </w:rPr>
              <w:t>24</w:t>
            </w:r>
            <w:r>
              <w:rPr>
                <w:rFonts w:hint="eastAsia" w:ascii="宋体" w:hAnsi="宋体" w:cs="宋体"/>
                <w:color w:val="000000" w:themeColor="text1"/>
                <w:szCs w:val="21"/>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snapToGrid w:val="0"/>
              <w:spacing w:line="360" w:lineRule="auto"/>
              <w:jc w:val="center"/>
              <w:rPr>
                <w:rFonts w:hint="eastAsia" w:ascii="宋体" w:hAnsi="宋体" w:cs="宋体"/>
                <w:color w:val="000000" w:themeColor="text1"/>
                <w:szCs w:val="21"/>
                <w:highlight w:val="none"/>
                <w:u w:val="none"/>
              </w:rPr>
            </w:pPr>
            <w:r>
              <w:rPr>
                <w:rFonts w:hint="eastAsia" w:ascii="宋体" w:hAnsi="宋体" w:eastAsia="宋体" w:cs="宋体"/>
                <w:color w:val="000000" w:themeColor="text1"/>
                <w:sz w:val="21"/>
                <w:szCs w:val="21"/>
                <w:lang w:val="en-US" w:eastAsia="zh-CN"/>
              </w:rPr>
              <w:t>每月25日对帐，次月25日前支付上月货款的70%，供货完毕办理结算后支付至100%（所有支付在收到工程款后进行）。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ascii="宋体" w:hAnsi="宋体" w:eastAsia="宋体" w:cs="宋体"/>
                <w:color w:val="000000" w:themeColor="text1"/>
                <w:kern w:val="2"/>
                <w:sz w:val="21"/>
                <w:szCs w:val="21"/>
                <w:highlight w:val="none"/>
                <w:u w:val="none"/>
              </w:rPr>
              <w:t>以甲方实际签收的乙方小票（送货单）为准。甲方可以进行不限次数的抽</w:t>
            </w:r>
            <w:r>
              <w:rPr>
                <w:rFonts w:hint="eastAsia" w:ascii="宋体" w:hAnsi="宋体" w:cs="宋体"/>
                <w:color w:val="000000" w:themeColor="text1"/>
                <w:kern w:val="2"/>
                <w:sz w:val="21"/>
                <w:szCs w:val="21"/>
                <w:highlight w:val="none"/>
                <w:u w:val="none"/>
                <w:lang w:val="en-US" w:eastAsia="zh-CN"/>
              </w:rPr>
              <w:t>查</w:t>
            </w:r>
            <w:r>
              <w:rPr>
                <w:rFonts w:hint="eastAsia" w:ascii="宋体" w:hAnsi="宋体" w:eastAsia="宋体" w:cs="宋体"/>
                <w:color w:val="000000" w:themeColor="text1"/>
                <w:kern w:val="2"/>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23</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24</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2</w:t>
            </w:r>
            <w:r>
              <w:rPr>
                <w:rFonts w:hint="eastAsia" w:ascii="宋体" w:hAnsi="宋体" w:cs="宋体"/>
                <w:szCs w:val="21"/>
                <w:u w:val="single"/>
              </w:rPr>
              <w:t>月</w:t>
            </w:r>
            <w:r>
              <w:rPr>
                <w:rFonts w:hint="eastAsia" w:ascii="宋体" w:hAnsi="宋体" w:cs="宋体"/>
                <w:szCs w:val="21"/>
                <w:u w:val="single"/>
                <w:lang w:val="en-US" w:eastAsia="zh-CN"/>
              </w:rPr>
              <w:t>25</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2</w:t>
            </w:r>
            <w:r>
              <w:rPr>
                <w:rFonts w:hint="eastAsia" w:ascii="宋体" w:hAnsi="宋体" w:cs="宋体"/>
                <w:szCs w:val="21"/>
                <w:u w:val="single"/>
              </w:rPr>
              <w:t>月</w:t>
            </w:r>
            <w:r>
              <w:rPr>
                <w:rFonts w:hint="eastAsia" w:ascii="宋体" w:hAnsi="宋体" w:cs="宋体"/>
                <w:szCs w:val="21"/>
                <w:u w:val="single"/>
                <w:lang w:val="en-US" w:eastAsia="zh-CN"/>
              </w:rPr>
              <w:t>25</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25</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val="en-US"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投标人必须是在中华人民共和国境内具有独立承担民事责任能力的企业，且营业执照经营范围包含销售</w:t>
            </w:r>
            <w:r>
              <w:rPr>
                <w:rFonts w:hint="eastAsia" w:ascii="宋体" w:hAnsi="宋体" w:cs="宋体"/>
                <w:color w:val="000000" w:themeColor="text1"/>
                <w:u w:val="single"/>
              </w:rPr>
              <w:t>建材</w:t>
            </w:r>
            <w:r>
              <w:rPr>
                <w:rFonts w:hint="eastAsia" w:ascii="宋体" w:hAnsi="宋体" w:cs="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71877701"/>
      <w:bookmarkStart w:id="1" w:name="_Toc123786822"/>
      <w:bookmarkStart w:id="2" w:name="_Toc42923333"/>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w:t>
      </w:r>
      <w:r>
        <w:rPr>
          <w:rFonts w:hint="eastAsia" w:ascii="Times New Roman" w:hAnsi="Times New Roman"/>
          <w:sz w:val="28"/>
          <w:szCs w:val="28"/>
          <w:lang w:eastAsia="zh-CN"/>
        </w:rPr>
        <w:t>（</w:t>
      </w:r>
      <w:r>
        <w:rPr>
          <w:rFonts w:hint="eastAsia" w:ascii="Times New Roman" w:hAnsi="Times New Roman"/>
          <w:sz w:val="28"/>
          <w:szCs w:val="28"/>
          <w:lang w:val="en-US" w:eastAsia="zh-CN"/>
        </w:rPr>
        <w:t>合规</w:t>
      </w:r>
      <w:r>
        <w:rPr>
          <w:rFonts w:hint="eastAsia" w:ascii="Times New Roman" w:hAnsi="Times New Roman"/>
          <w:sz w:val="28"/>
          <w:szCs w:val="28"/>
          <w:lang w:eastAsia="zh-CN"/>
        </w:rPr>
        <w:t>）</w:t>
      </w:r>
      <w:r>
        <w:rPr>
          <w:rFonts w:hint="eastAsia" w:ascii="Times New Roman" w:hAnsi="Times New Roman"/>
          <w:sz w:val="28"/>
          <w:szCs w:val="28"/>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50864444"/>
      <w:bookmarkStart w:id="8" w:name="_Toc35342046"/>
      <w:bookmarkStart w:id="9" w:name="_Toc123786890"/>
      <w:bookmarkStart w:id="10" w:name="_Toc91392962"/>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both"/>
        <w:outlineLvl w:val="3"/>
        <w:rPr>
          <w:rFonts w:hint="eastAsia" w:ascii="宋体" w:hAnsi="宋体" w:cs="宋体"/>
          <w:b/>
          <w:sz w:val="30"/>
        </w:rPr>
      </w:pPr>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bookmarkEnd w:id="7"/>
      <w:bookmarkEnd w:id="8"/>
      <w:bookmarkEnd w:id="9"/>
      <w:bookmarkEnd w:id="10"/>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820" w:right="1066" w:bottom="478" w:left="1180" w:header="851" w:footer="992" w:gutter="0"/>
          <w:cols w:space="720" w:num="1"/>
          <w:docGrid w:type="lines" w:linePitch="312" w:charSpace="0"/>
        </w:sectPr>
      </w:pPr>
    </w:p>
    <w:tbl>
      <w:tblPr>
        <w:tblStyle w:val="7"/>
        <w:tblW w:w="10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2"/>
        <w:gridCol w:w="1906"/>
        <w:gridCol w:w="1"/>
        <w:gridCol w:w="1609"/>
        <w:gridCol w:w="1"/>
        <w:gridCol w:w="939"/>
        <w:gridCol w:w="1"/>
        <w:gridCol w:w="1015"/>
        <w:gridCol w:w="917"/>
        <w:gridCol w:w="890"/>
        <w:gridCol w:w="506"/>
        <w:gridCol w:w="933"/>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trPr>
        <w:tc>
          <w:tcPr>
            <w:tcW w:w="7991" w:type="dxa"/>
            <w:gridSpan w:val="10"/>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表1.___________（填：合同名称）合同清单</w:t>
            </w:r>
          </w:p>
        </w:tc>
        <w:tc>
          <w:tcPr>
            <w:tcW w:w="1439"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030"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0"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9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16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9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6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9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6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9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6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9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6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9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7785" w:type="dxa"/>
            <w:gridSpan w:val="10"/>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93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8" w:hRule="atLeast"/>
        </w:trPr>
        <w:tc>
          <w:tcPr>
            <w:tcW w:w="71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7785" w:type="dxa"/>
            <w:gridSpan w:val="10"/>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93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trPr>
        <w:tc>
          <w:tcPr>
            <w:tcW w:w="712"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906" w:type="dxa"/>
            <w:noWrap w:val="0"/>
            <w:vAlign w:val="center"/>
          </w:tcPr>
          <w:p>
            <w:pPr>
              <w:jc w:val="left"/>
              <w:rPr>
                <w:rFonts w:hint="eastAsia" w:ascii="宋体" w:hAnsi="宋体" w:eastAsia="宋体" w:cs="宋体"/>
                <w:i w:val="0"/>
                <w:color w:val="auto"/>
                <w:sz w:val="24"/>
                <w:szCs w:val="24"/>
                <w:u w:val="none"/>
              </w:rPr>
            </w:pPr>
          </w:p>
        </w:tc>
        <w:tc>
          <w:tcPr>
            <w:tcW w:w="1610" w:type="dxa"/>
            <w:gridSpan w:val="2"/>
            <w:noWrap w:val="0"/>
            <w:vAlign w:val="center"/>
          </w:tcPr>
          <w:p>
            <w:pPr>
              <w:rPr>
                <w:rFonts w:hint="eastAsia" w:ascii="宋体" w:hAnsi="宋体" w:eastAsia="宋体" w:cs="宋体"/>
                <w:i w:val="0"/>
                <w:color w:val="auto"/>
                <w:sz w:val="24"/>
                <w:szCs w:val="24"/>
                <w:u w:val="none"/>
              </w:rPr>
            </w:pPr>
          </w:p>
        </w:tc>
        <w:tc>
          <w:tcPr>
            <w:tcW w:w="940" w:type="dxa"/>
            <w:gridSpan w:val="2"/>
            <w:noWrap w:val="0"/>
            <w:vAlign w:val="center"/>
          </w:tcPr>
          <w:p>
            <w:pPr>
              <w:rPr>
                <w:rFonts w:hint="eastAsia" w:ascii="宋体" w:hAnsi="宋体" w:eastAsia="宋体" w:cs="宋体"/>
                <w:i w:val="0"/>
                <w:color w:val="auto"/>
                <w:sz w:val="24"/>
                <w:szCs w:val="24"/>
                <w:u w:val="none"/>
              </w:rPr>
            </w:pPr>
          </w:p>
        </w:tc>
        <w:tc>
          <w:tcPr>
            <w:tcW w:w="1016" w:type="dxa"/>
            <w:gridSpan w:val="2"/>
            <w:noWrap w:val="0"/>
            <w:vAlign w:val="center"/>
          </w:tcPr>
          <w:p>
            <w:pPr>
              <w:rPr>
                <w:rFonts w:hint="eastAsia" w:ascii="宋体" w:hAnsi="宋体" w:eastAsia="宋体" w:cs="宋体"/>
                <w:i w:val="0"/>
                <w:color w:val="auto"/>
                <w:sz w:val="24"/>
                <w:szCs w:val="24"/>
                <w:u w:val="none"/>
              </w:rPr>
            </w:pPr>
          </w:p>
        </w:tc>
        <w:tc>
          <w:tcPr>
            <w:tcW w:w="917" w:type="dxa"/>
            <w:noWrap w:val="0"/>
            <w:vAlign w:val="center"/>
          </w:tcPr>
          <w:p>
            <w:pPr>
              <w:rPr>
                <w:rFonts w:hint="eastAsia" w:ascii="宋体" w:hAnsi="宋体" w:eastAsia="宋体" w:cs="宋体"/>
                <w:i w:val="0"/>
                <w:color w:val="auto"/>
                <w:sz w:val="24"/>
                <w:szCs w:val="24"/>
                <w:u w:val="none"/>
              </w:rPr>
            </w:pPr>
          </w:p>
        </w:tc>
        <w:tc>
          <w:tcPr>
            <w:tcW w:w="890" w:type="dxa"/>
            <w:noWrap w:val="0"/>
            <w:vAlign w:val="center"/>
          </w:tcPr>
          <w:p>
            <w:pPr>
              <w:rPr>
                <w:rFonts w:hint="eastAsia" w:ascii="宋体" w:hAnsi="宋体" w:eastAsia="宋体" w:cs="宋体"/>
                <w:i w:val="0"/>
                <w:color w:val="auto"/>
                <w:sz w:val="24"/>
                <w:szCs w:val="24"/>
                <w:u w:val="none"/>
              </w:rPr>
            </w:pPr>
          </w:p>
        </w:tc>
        <w:tc>
          <w:tcPr>
            <w:tcW w:w="506" w:type="dxa"/>
            <w:noWrap w:val="0"/>
            <w:vAlign w:val="center"/>
          </w:tcPr>
          <w:p>
            <w:pPr>
              <w:rPr>
                <w:rFonts w:hint="eastAsia" w:ascii="宋体" w:hAnsi="宋体" w:eastAsia="宋体" w:cs="宋体"/>
                <w:i w:val="0"/>
                <w:color w:val="auto"/>
                <w:sz w:val="24"/>
                <w:szCs w:val="24"/>
                <w:u w:val="none"/>
              </w:rPr>
            </w:pPr>
          </w:p>
        </w:tc>
        <w:tc>
          <w:tcPr>
            <w:tcW w:w="933" w:type="dxa"/>
            <w:noWrap w:val="0"/>
            <w:vAlign w:val="center"/>
          </w:tcPr>
          <w:p>
            <w:pPr>
              <w:rPr>
                <w:rFonts w:hint="eastAsia" w:ascii="宋体" w:hAnsi="宋体" w:eastAsia="宋体" w:cs="宋体"/>
                <w:i w:val="0"/>
                <w:color w:val="auto"/>
                <w:sz w:val="24"/>
                <w:szCs w:val="24"/>
                <w:u w:val="none"/>
              </w:rPr>
            </w:pPr>
          </w:p>
        </w:tc>
        <w:tc>
          <w:tcPr>
            <w:tcW w:w="1030"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712" w:type="dxa"/>
            <w:noWrap w:val="0"/>
            <w:vAlign w:val="center"/>
          </w:tcPr>
          <w:p>
            <w:pPr>
              <w:rPr>
                <w:rFonts w:hint="eastAsia" w:ascii="宋体" w:hAnsi="宋体" w:eastAsia="宋体" w:cs="宋体"/>
                <w:i w:val="0"/>
                <w:color w:val="auto"/>
                <w:sz w:val="24"/>
                <w:szCs w:val="24"/>
                <w:u w:val="none"/>
              </w:rPr>
            </w:pPr>
          </w:p>
        </w:tc>
        <w:tc>
          <w:tcPr>
            <w:tcW w:w="7785" w:type="dxa"/>
            <w:gridSpan w:val="10"/>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933" w:type="dxa"/>
            <w:noWrap w:val="0"/>
            <w:vAlign w:val="center"/>
          </w:tcPr>
          <w:p>
            <w:pPr>
              <w:rPr>
                <w:rFonts w:hint="eastAsia" w:ascii="宋体" w:hAnsi="宋体" w:eastAsia="宋体" w:cs="宋体"/>
                <w:i w:val="0"/>
                <w:color w:val="auto"/>
                <w:sz w:val="24"/>
                <w:szCs w:val="24"/>
                <w:u w:val="none"/>
              </w:rPr>
            </w:pPr>
          </w:p>
        </w:tc>
        <w:tc>
          <w:tcPr>
            <w:tcW w:w="1030"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712" w:type="dxa"/>
            <w:noWrap w:val="0"/>
            <w:vAlign w:val="center"/>
          </w:tcPr>
          <w:p>
            <w:pPr>
              <w:rPr>
                <w:rFonts w:hint="eastAsia" w:ascii="宋体" w:hAnsi="宋体" w:eastAsia="宋体" w:cs="宋体"/>
                <w:i w:val="0"/>
                <w:color w:val="auto"/>
                <w:sz w:val="24"/>
                <w:szCs w:val="24"/>
                <w:u w:val="none"/>
              </w:rPr>
            </w:pPr>
          </w:p>
        </w:tc>
        <w:tc>
          <w:tcPr>
            <w:tcW w:w="7785" w:type="dxa"/>
            <w:gridSpan w:val="10"/>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933" w:type="dxa"/>
            <w:noWrap w:val="0"/>
            <w:vAlign w:val="center"/>
          </w:tcPr>
          <w:p>
            <w:pPr>
              <w:rPr>
                <w:rFonts w:hint="eastAsia" w:ascii="宋体" w:hAnsi="宋体" w:eastAsia="宋体" w:cs="宋体"/>
                <w:i w:val="0"/>
                <w:color w:val="auto"/>
                <w:sz w:val="24"/>
                <w:szCs w:val="24"/>
                <w:u w:val="none"/>
              </w:rPr>
            </w:pPr>
          </w:p>
        </w:tc>
        <w:tc>
          <w:tcPr>
            <w:tcW w:w="1030"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712" w:type="dxa"/>
            <w:noWrap w:val="0"/>
            <w:vAlign w:val="center"/>
          </w:tcPr>
          <w:p>
            <w:pPr>
              <w:rPr>
                <w:rFonts w:hint="eastAsia" w:ascii="宋体" w:hAnsi="宋体" w:eastAsia="宋体" w:cs="宋体"/>
                <w:i w:val="0"/>
                <w:color w:val="auto"/>
                <w:sz w:val="24"/>
                <w:szCs w:val="24"/>
                <w:u w:val="none"/>
              </w:rPr>
            </w:pPr>
          </w:p>
        </w:tc>
        <w:tc>
          <w:tcPr>
            <w:tcW w:w="7785" w:type="dxa"/>
            <w:gridSpan w:val="10"/>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933" w:type="dxa"/>
            <w:noWrap w:val="0"/>
            <w:vAlign w:val="center"/>
          </w:tcPr>
          <w:p>
            <w:pPr>
              <w:rPr>
                <w:rFonts w:hint="eastAsia" w:ascii="宋体" w:hAnsi="宋体" w:eastAsia="宋体" w:cs="宋体"/>
                <w:i w:val="0"/>
                <w:color w:val="auto"/>
                <w:sz w:val="24"/>
                <w:szCs w:val="24"/>
                <w:u w:val="none"/>
              </w:rPr>
            </w:pPr>
          </w:p>
        </w:tc>
        <w:tc>
          <w:tcPr>
            <w:tcW w:w="1030"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712" w:type="dxa"/>
            <w:noWrap w:val="0"/>
            <w:vAlign w:val="center"/>
          </w:tcPr>
          <w:p>
            <w:pPr>
              <w:rPr>
                <w:rFonts w:hint="eastAsia" w:ascii="宋体" w:hAnsi="宋体" w:eastAsia="宋体" w:cs="宋体"/>
                <w:i w:val="0"/>
                <w:color w:val="auto"/>
                <w:sz w:val="24"/>
                <w:szCs w:val="24"/>
                <w:u w:val="none"/>
              </w:rPr>
            </w:pPr>
          </w:p>
        </w:tc>
        <w:tc>
          <w:tcPr>
            <w:tcW w:w="7785" w:type="dxa"/>
            <w:gridSpan w:val="10"/>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933" w:type="dxa"/>
            <w:noWrap w:val="0"/>
            <w:vAlign w:val="center"/>
          </w:tcPr>
          <w:p>
            <w:pPr>
              <w:rPr>
                <w:rFonts w:hint="eastAsia" w:ascii="宋体" w:hAnsi="宋体" w:eastAsia="宋体" w:cs="宋体"/>
                <w:i w:val="0"/>
                <w:color w:val="auto"/>
                <w:sz w:val="24"/>
                <w:szCs w:val="24"/>
                <w:u w:val="none"/>
              </w:rPr>
            </w:pPr>
          </w:p>
        </w:tc>
        <w:tc>
          <w:tcPr>
            <w:tcW w:w="1030" w:type="dxa"/>
            <w:noWrap w:val="0"/>
            <w:vAlign w:val="center"/>
          </w:tcPr>
          <w:p>
            <w:pPr>
              <w:rPr>
                <w:rFonts w:hint="eastAsia" w:ascii="宋体" w:hAnsi="宋体" w:eastAsia="宋体" w:cs="宋体"/>
                <w:i w:val="0"/>
                <w:color w:val="auto"/>
                <w:sz w:val="24"/>
                <w:szCs w:val="24"/>
                <w:u w:val="none"/>
              </w:rPr>
            </w:pPr>
          </w:p>
        </w:tc>
      </w:tr>
    </w:tbl>
    <w:p>
      <w:pPr>
        <w:rPr>
          <w:color w:val="auto"/>
        </w:rPr>
      </w:pPr>
    </w:p>
    <w:p>
      <w:pPr>
        <w:widowControl/>
        <w:ind w:firstLine="0" w:firstLineChars="0"/>
        <w:jc w:val="left"/>
        <w:rPr>
          <w:rFonts w:ascii="宋体" w:cs="宋体"/>
          <w:b/>
          <w:color w:val="000000"/>
          <w:sz w:val="44"/>
          <w:szCs w:val="44"/>
          <w:u w:val="single"/>
        </w:rPr>
      </w:pPr>
      <w:r>
        <w:rPr>
          <w:rFonts w:ascii="宋体" w:cs="宋体"/>
          <w:b/>
          <w:sz w:val="30"/>
        </w:rPr>
        <w:br w:type="page"/>
      </w:r>
      <w:r>
        <w:rPr>
          <w:rFonts w:hint="eastAsia" w:ascii="宋体" w:cs="宋体"/>
          <w:b/>
          <w:sz w:val="30"/>
          <w:lang w:val="en-US" w:eastAsia="zh-CN"/>
        </w:rPr>
        <w:t xml:space="preserve">    </w:t>
      </w: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lang w:val="en-US" w:eastAsia="zh-CN"/>
        </w:rPr>
        <w:t>ABB项目南侧</w:t>
      </w:r>
      <w:r>
        <w:rPr>
          <w:rFonts w:hint="eastAsia"/>
          <w:b/>
          <w:bCs/>
          <w:sz w:val="44"/>
          <w:szCs w:val="44"/>
        </w:rPr>
        <w:t>道路工程</w:t>
      </w:r>
    </w:p>
    <w:p>
      <w:pPr>
        <w:spacing w:line="560" w:lineRule="exact"/>
        <w:jc w:val="center"/>
        <w:rPr>
          <w:b/>
          <w:bCs/>
          <w:sz w:val="44"/>
          <w:szCs w:val="44"/>
        </w:rPr>
      </w:pPr>
      <w:r>
        <w:rPr>
          <w:rFonts w:hint="eastAsia"/>
          <w:b/>
          <w:bCs/>
          <w:sz w:val="44"/>
          <w:szCs w:val="44"/>
          <w:lang w:val="en-US" w:eastAsia="zh-CN"/>
        </w:rPr>
        <w:t>材料</w:t>
      </w:r>
      <w:r>
        <w:rPr>
          <w:rFonts w:hint="eastAsia"/>
          <w:b/>
          <w:bCs/>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ind w:firstLine="1606" w:firstLineChars="500"/>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ind w:firstLine="1606" w:firstLineChars="500"/>
        <w:rPr>
          <w:b/>
          <w:sz w:val="32"/>
          <w:szCs w:val="32"/>
          <w:u w:val="single"/>
        </w:rPr>
      </w:pPr>
      <w:r>
        <w:rPr>
          <w:rFonts w:hint="eastAsia" w:cs="宋体"/>
          <w:b/>
          <w:sz w:val="32"/>
          <w:szCs w:val="32"/>
        </w:rPr>
        <w:t>投标人：</w:t>
      </w:r>
      <w:r>
        <w:rPr>
          <w:rFonts w:hint="eastAsia" w:cs="宋体"/>
          <w:b/>
          <w:sz w:val="32"/>
          <w:szCs w:val="32"/>
          <w:lang w:val="en-US" w:eastAsia="zh-CN"/>
        </w:rPr>
        <w:t xml:space="preserve">                              </w:t>
      </w:r>
      <w:r>
        <w:rPr>
          <w:rFonts w:hint="eastAsia" w:cs="宋体"/>
          <w:b/>
          <w:sz w:val="32"/>
          <w:szCs w:val="32"/>
          <w:u w:val="none"/>
          <w:lang w:val="en-US" w:eastAsia="zh-CN"/>
        </w:rPr>
        <w:t xml:space="preserve"> </w:t>
      </w:r>
      <w:r>
        <w:rPr>
          <w:rFonts w:hint="eastAsia" w:cs="宋体"/>
          <w:b/>
          <w:sz w:val="32"/>
          <w:szCs w:val="32"/>
          <w:u w:val="none"/>
        </w:rPr>
        <w:t>（盖公章）</w:t>
      </w:r>
    </w:p>
    <w:p>
      <w:pPr>
        <w:adjustRightInd w:val="0"/>
        <w:snapToGrid w:val="0"/>
        <w:spacing w:line="560" w:lineRule="exact"/>
        <w:ind w:firstLine="1928" w:firstLineChars="600"/>
        <w:jc w:val="left"/>
        <w:rPr>
          <w:sz w:val="28"/>
          <w:szCs w:val="28"/>
        </w:rPr>
      </w:pPr>
      <w:r>
        <w:rPr>
          <w:rFonts w:hint="eastAsia" w:cs="宋体"/>
          <w:b/>
          <w:sz w:val="32"/>
          <w:szCs w:val="32"/>
        </w:rPr>
        <w:t>日期：</w:t>
      </w:r>
      <w:r>
        <w:rPr>
          <w:rFonts w:hint="eastAsia" w:cs="宋体"/>
          <w:b/>
          <w:sz w:val="32"/>
          <w:szCs w:val="32"/>
          <w:lang w:val="en-US" w:eastAsia="zh-CN"/>
        </w:rPr>
        <w:t xml:space="preserve"> 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lang w:val="en-US" w:eastAsia="zh-CN"/>
        </w:rPr>
        <w:t>ABB项目南侧道路工程砂石、水泥、防水涂料采购</w:t>
      </w:r>
      <w:r>
        <w:rPr>
          <w:rFonts w:hint="eastAsia" w:ascii="宋体" w:hAnsi="宋体" w:cs="宋体"/>
          <w:bCs/>
          <w:sz w:val="28"/>
          <w:u w:val="single"/>
        </w:rPr>
        <w:t xml:space="preserve"> </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cs="宋体"/>
          <w:sz w:val="28"/>
          <w:szCs w:val="28"/>
          <w:u w:val="single"/>
          <w:lang w:val="en-US" w:eastAsia="zh-CN"/>
        </w:rPr>
        <w:t xml:space="preserve">            </w:t>
      </w:r>
      <w:r>
        <w:rPr>
          <w:rFonts w:hint="eastAsia" w:ascii="宋体" w:hAnsi="宋体" w:cs="宋体"/>
          <w:sz w:val="28"/>
          <w:szCs w:val="28"/>
          <w:u w:val="none"/>
        </w:rPr>
        <w:t>元</w:t>
      </w:r>
      <w:r>
        <w:rPr>
          <w:rFonts w:hint="eastAsia" w:ascii="宋体" w:hAnsi="宋体" w:cs="宋体"/>
          <w:sz w:val="28"/>
          <w:szCs w:val="28"/>
        </w:rPr>
        <w:t>（</w:t>
      </w:r>
      <w:r>
        <w:rPr>
          <w:rFonts w:ascii="宋体" w:cs="宋体"/>
          <w:sz w:val="28"/>
          <w:szCs w:val="28"/>
          <w:u w:val="none"/>
        </w:rPr>
        <w:t>¥</w:t>
      </w:r>
      <w:r>
        <w:rPr>
          <w:rFonts w:hint="eastAsia" w:ascii="宋体" w:hAnsi="宋体" w:cs="宋体"/>
          <w:sz w:val="28"/>
          <w:szCs w:val="28"/>
          <w:u w:val="none"/>
        </w:rPr>
        <w:t>）</w:t>
      </w:r>
      <w:r>
        <w:rPr>
          <w:rFonts w:hint="eastAsia" w:ascii="宋体" w:hAnsi="宋体" w:cs="宋体"/>
          <w:sz w:val="28"/>
          <w:szCs w:val="28"/>
          <w:u w:val="single"/>
          <w:lang w:val="en-US" w:eastAsia="zh-CN"/>
        </w:rPr>
        <w:t xml:space="preserve">      </w:t>
      </w:r>
      <w:r>
        <w:rPr>
          <w:rFonts w:hint="eastAsia" w:ascii="宋体" w:hAnsi="宋体" w:cs="宋体"/>
          <w:sz w:val="28"/>
          <w:szCs w:val="28"/>
        </w:rPr>
        <w:t>的投标</w:t>
      </w:r>
      <w:r>
        <w:rPr>
          <w:rFonts w:hint="eastAsia" w:ascii="宋体" w:hAnsi="宋体" w:cs="宋体"/>
          <w:sz w:val="28"/>
          <w:szCs w:val="28"/>
          <w:lang w:eastAsia="zh-CN"/>
        </w:rPr>
        <w:t>单</w:t>
      </w:r>
      <w:r>
        <w:rPr>
          <w:rFonts w:hint="eastAsia" w:ascii="宋体" w:hAnsi="宋体" w:cs="宋体"/>
          <w:sz w:val="28"/>
          <w:szCs w:val="28"/>
        </w:rPr>
        <w:t>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lang w:val="en-US" w:eastAsia="zh-CN"/>
        </w:rPr>
        <w:t xml:space="preserve">                            </w:t>
      </w:r>
      <w:r>
        <w:rPr>
          <w:rFonts w:hint="eastAsia" w:ascii="宋体" w:hAnsi="宋体" w:cs="宋体"/>
          <w:sz w:val="28"/>
          <w:szCs w:val="28"/>
          <w:u w:val="none"/>
        </w:rPr>
        <w:t>（盖公章）</w:t>
      </w:r>
    </w:p>
    <w:p>
      <w:pPr>
        <w:spacing w:line="560" w:lineRule="exact"/>
        <w:ind w:left="2100" w:leftChars="1000"/>
        <w:jc w:val="left"/>
        <w:rPr>
          <w:rFonts w:ascii="宋体" w:cs="宋体"/>
          <w:sz w:val="28"/>
          <w:szCs w:val="28"/>
          <w:u w:val="none"/>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none"/>
          <w:lang w:val="en-US" w:eastAsia="zh-CN"/>
        </w:rPr>
        <w:t xml:space="preserve"> </w:t>
      </w:r>
      <w:r>
        <w:rPr>
          <w:rFonts w:hint="eastAsia" w:ascii="宋体" w:hAnsi="宋体" w:cs="宋体"/>
          <w:sz w:val="28"/>
          <w:szCs w:val="28"/>
          <w:u w:val="non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hint="default" w:ascii="宋体" w:eastAsia="宋体" w:cs="宋体"/>
          <w:sz w:val="28"/>
          <w:szCs w:val="28"/>
          <w:lang w:val="en-US" w:eastAsia="zh-CN"/>
        </w:rPr>
      </w:pPr>
      <w:r>
        <w:rPr>
          <w:rFonts w:hint="eastAsia" w:ascii="宋体" w:hAnsi="宋体" w:cs="宋体"/>
          <w:sz w:val="28"/>
          <w:szCs w:val="28"/>
        </w:rPr>
        <w:t>电话：</w:t>
      </w:r>
      <w:r>
        <w:rPr>
          <w:rFonts w:hint="eastAsia" w:ascii="宋体" w:hAnsi="宋体" w:cs="宋体"/>
          <w:sz w:val="28"/>
          <w:szCs w:val="28"/>
          <w:lang w:val="en-US" w:eastAsia="zh-CN"/>
        </w:rPr>
        <w:t xml:space="preserve">              </w:t>
      </w:r>
      <w:r>
        <w:rPr>
          <w:rFonts w:hint="eastAsia" w:ascii="宋体" w:hAnsi="宋体" w:cs="宋体"/>
          <w:sz w:val="28"/>
          <w:szCs w:val="28"/>
        </w:rPr>
        <w:t>传真：</w:t>
      </w:r>
      <w:r>
        <w:rPr>
          <w:rFonts w:hint="eastAsia" w:ascii="宋体" w:hAnsi="宋体" w:cs="宋体"/>
          <w:sz w:val="28"/>
          <w:szCs w:val="28"/>
          <w:lang w:val="en-US" w:eastAsia="zh-CN"/>
        </w:rPr>
        <w:t xml:space="preserve">           </w:t>
      </w:r>
    </w:p>
    <w:p>
      <w:pPr>
        <w:spacing w:line="560" w:lineRule="exact"/>
        <w:ind w:left="2100" w:leftChars="1000"/>
        <w:rPr>
          <w:rFonts w:ascii="宋体" w:cs="宋体"/>
          <w:sz w:val="28"/>
          <w:szCs w:val="28"/>
        </w:rPr>
      </w:pPr>
      <w:r>
        <w:rPr>
          <w:rFonts w:hint="eastAsia" w:ascii="宋体" w:hAnsi="宋体" w:cs="宋体"/>
          <w:sz w:val="28"/>
          <w:szCs w:val="28"/>
        </w:rPr>
        <w:t>日期：</w:t>
      </w:r>
      <w:r>
        <w:rPr>
          <w:rFonts w:hint="eastAsia" w:ascii="宋体" w:hAnsi="宋体" w:cs="宋体"/>
          <w:sz w:val="28"/>
          <w:szCs w:val="28"/>
          <w:lang w:val="en-US" w:eastAsia="zh-CN"/>
        </w:rPr>
        <w:t>2021</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65998016"/>
      <w:bookmarkStart w:id="14" w:name="_Toc90779596"/>
      <w:bookmarkStart w:id="15" w:name="_Toc500861027"/>
      <w:bookmarkStart w:id="16" w:name="_Toc6397151"/>
      <w:bookmarkStart w:id="17" w:name="_Toc26066260"/>
      <w:bookmarkStart w:id="18" w:name="_Toc491658680"/>
      <w:bookmarkStart w:id="19" w:name="_Toc6727972"/>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10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1" w:hRule="atLeast"/>
        </w:trPr>
        <w:tc>
          <w:tcPr>
            <w:tcW w:w="1000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99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7" w:hRule="atLeast"/>
        </w:trPr>
        <w:tc>
          <w:tcPr>
            <w:tcW w:w="9920"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bCs/>
          <w:sz w:val="28"/>
          <w:u w:val="single"/>
          <w:lang w:val="en-US" w:eastAsia="zh-CN"/>
        </w:rPr>
        <w:t>ABB项目南侧道路工程砂石、水泥、防水涂料采购</w:t>
      </w:r>
      <w:r>
        <w:rPr>
          <w:rFonts w:hint="eastAsia" w:ascii="宋体" w:hAnsi="宋体" w:cs="宋体"/>
          <w:sz w:val="28"/>
          <w:szCs w:val="28"/>
        </w:rPr>
        <w:t>（项目名称）招采（招采编号：</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rPr>
          <w:rFonts w:hint="eastAsia" w:ascii="宋体" w:hAnsi="宋体" w:cs="宋体"/>
          <w:sz w:val="28"/>
          <w:szCs w:val="28"/>
        </w:rPr>
        <w:t>附：法定代表人的身份证复印件：</w:t>
      </w:r>
    </w:p>
    <w:p>
      <w:pPr>
        <w:rPr>
          <w:rFonts w:ascii="宋体" w:cs="宋体"/>
          <w:kern w:val="0"/>
          <w:sz w:val="28"/>
          <w:szCs w:val="28"/>
        </w:rPr>
      </w:pPr>
      <w:r>
        <w:pict>
          <v:rect id="_x0000_s1027" o:spid="_x0000_s1027" o:spt="1" style="position:absolute;left:0pt;margin-left:-2.75pt;margin-top:4pt;height:170.45pt;width:440.6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lang w:val="en-US" w:eastAsia="zh-CN"/>
        </w:rPr>
        <w:t>ABB项目南侧道路工程砂石、水泥、防水涂料采购</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Rectangle 2" o:spid="_x0000_s1026" o:spt="1" style="position:absolute;left:0pt;margin-left:2.15pt;margin-top:27pt;height:158.25pt;width:436.1pt;z-index:25166028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on="t" color2="#FFFFFF" focussize="0,0"/>
            <v:stroke color="#000000" joinstyle="miter"/>
            <v:imagedata o:title=""/>
            <o:lock v:ext="edit" aspectratio="f"/>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法定代表人：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（签字或盖章）</w:t>
      </w:r>
    </w:p>
    <w:p>
      <w:pPr>
        <w:rPr>
          <w:rFonts w:asci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outlineLvl w:val="4"/>
        <w:rPr>
          <w:rFonts w:ascii="宋体" w:cs="宋体"/>
          <w:b/>
          <w:sz w:val="28"/>
          <w:szCs w:val="28"/>
        </w:rPr>
      </w:pPr>
      <w:bookmarkStart w:id="22" w:name="_Toc123786886"/>
    </w:p>
    <w:p>
      <w:pPr>
        <w:widowControl/>
        <w:numPr>
          <w:ilvl w:val="255"/>
          <w:numId w:val="0"/>
        </w:numPr>
        <w:jc w:val="both"/>
        <w:outlineLvl w:val="4"/>
        <w:rPr>
          <w:rFonts w:ascii="Times New Roman" w:hAnsi="Times New Roman" w:cs="宋体"/>
          <w:sz w:val="28"/>
          <w:szCs w:val="28"/>
        </w:rPr>
      </w:pPr>
    </w:p>
    <w:p>
      <w:pPr>
        <w:widowControl/>
        <w:numPr>
          <w:ilvl w:val="-1"/>
          <w:numId w:val="0"/>
        </w:numPr>
        <w:ind w:firstLine="0" w:firstLineChars="0"/>
        <w:jc w:val="both"/>
        <w:outlineLvl w:val="4"/>
        <w:rPr>
          <w:rFonts w:hint="eastAsia" w:ascii="宋体" w:hAnsi="宋体" w:cs="宋体"/>
          <w:b/>
          <w:sz w:val="28"/>
          <w:szCs w:val="28"/>
          <w:highlight w:val="none"/>
        </w:rPr>
      </w:pPr>
    </w:p>
    <w:p>
      <w:pPr>
        <w:widowControl/>
        <w:numPr>
          <w:ilvl w:val="0"/>
          <w:numId w:val="2"/>
        </w:numPr>
        <w:ind w:firstLine="3654" w:firstLineChars="1300"/>
        <w:jc w:val="both"/>
        <w:outlineLvl w:val="4"/>
        <w:rPr>
          <w:rFonts w:hint="eastAsia" w:ascii="宋体" w:hAnsi="宋体" w:cs="宋体"/>
          <w:b/>
          <w:sz w:val="28"/>
          <w:szCs w:val="28"/>
          <w:highlight w:val="none"/>
        </w:rPr>
      </w:pPr>
      <w:r>
        <w:rPr>
          <w:rFonts w:hint="eastAsia" w:ascii="宋体" w:hAnsi="宋体" w:cs="宋体"/>
          <w:b/>
          <w:sz w:val="28"/>
          <w:szCs w:val="28"/>
          <w:highlight w:val="none"/>
        </w:rPr>
        <w:t>投标报价表（材料采购）</w:t>
      </w:r>
    </w:p>
    <w:p>
      <w:pPr>
        <w:widowControl/>
        <w:numPr>
          <w:ilvl w:val="-1"/>
          <w:numId w:val="0"/>
        </w:numPr>
        <w:ind w:firstLine="8674" w:firstLineChars="3600"/>
        <w:jc w:val="both"/>
        <w:outlineLvl w:val="4"/>
        <w:rPr>
          <w:rFonts w:ascii="宋体" w:hAnsi="宋体" w:cs="宋体"/>
          <w:b/>
          <w:sz w:val="24"/>
          <w:szCs w:val="24"/>
          <w:highlight w:val="none"/>
        </w:rPr>
      </w:pPr>
      <w:r>
        <w:rPr>
          <w:rFonts w:ascii="宋体" w:hAnsi="宋体" w:cs="宋体"/>
          <w:b/>
          <w:sz w:val="24"/>
          <w:szCs w:val="24"/>
          <w:highlight w:val="none"/>
        </w:rPr>
        <w:t>单位：元</w:t>
      </w:r>
    </w:p>
    <w:tbl>
      <w:tblPr>
        <w:tblStyle w:val="7"/>
        <w:tblW w:w="10020" w:type="dxa"/>
        <w:tblInd w:w="0" w:type="dxa"/>
        <w:shd w:val="clear" w:color="auto" w:fill="auto"/>
        <w:tblLayout w:type="fixed"/>
        <w:tblCellMar>
          <w:top w:w="0" w:type="dxa"/>
          <w:left w:w="0" w:type="dxa"/>
          <w:bottom w:w="0" w:type="dxa"/>
          <w:right w:w="0" w:type="dxa"/>
        </w:tblCellMar>
      </w:tblPr>
      <w:tblGrid>
        <w:gridCol w:w="508"/>
        <w:gridCol w:w="1381"/>
        <w:gridCol w:w="1889"/>
        <w:gridCol w:w="651"/>
        <w:gridCol w:w="1187"/>
        <w:gridCol w:w="756"/>
        <w:gridCol w:w="1368"/>
        <w:gridCol w:w="756"/>
        <w:gridCol w:w="742"/>
        <w:gridCol w:w="782"/>
      </w:tblGrid>
      <w:tr>
        <w:tblPrEx>
          <w:shd w:val="clear" w:color="auto" w:fill="auto"/>
          <w:tblCellMar>
            <w:top w:w="0" w:type="dxa"/>
            <w:left w:w="0" w:type="dxa"/>
            <w:bottom w:w="0" w:type="dxa"/>
            <w:right w:w="0" w:type="dxa"/>
          </w:tblCellMar>
        </w:tblPrEx>
        <w:trPr>
          <w:trHeight w:val="40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序号</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名称</w:t>
            </w:r>
          </w:p>
        </w:tc>
        <w:tc>
          <w:tcPr>
            <w:tcW w:w="18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规格型号</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计量单位</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暂定数量</w:t>
            </w: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限价（含税）</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报价（含税）</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备注</w:t>
            </w:r>
          </w:p>
        </w:tc>
      </w:tr>
      <w:tr>
        <w:tblPrEx>
          <w:tblCellMar>
            <w:top w:w="0" w:type="dxa"/>
            <w:left w:w="0" w:type="dxa"/>
            <w:bottom w:w="0" w:type="dxa"/>
            <w:right w:w="0" w:type="dxa"/>
          </w:tblCellMar>
        </w:tblPrEx>
        <w:trPr>
          <w:trHeight w:val="30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1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单价</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暂定合价</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单价</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合价</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260" w:hRule="atLeast"/>
        </w:trPr>
        <w:tc>
          <w:tcPr>
            <w:tcW w:w="5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碎石</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5~60</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t</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28162.51 </w:t>
            </w:r>
          </w:p>
        </w:tc>
        <w:tc>
          <w:tcPr>
            <w:tcW w:w="7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113.00 </w:t>
            </w:r>
          </w:p>
        </w:tc>
        <w:tc>
          <w:tcPr>
            <w:tcW w:w="13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3182363.63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新宋体" w:hAnsi="新宋体" w:eastAsia="新宋体" w:cs="新宋体"/>
                <w:i w:val="0"/>
                <w:color w:val="000000"/>
                <w:sz w:val="16"/>
                <w:szCs w:val="16"/>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22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2</w:t>
            </w:r>
          </w:p>
        </w:tc>
        <w:tc>
          <w:tcPr>
            <w:tcW w:w="13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砂</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新宋体" w:hAnsi="新宋体" w:eastAsia="新宋体" w:cs="新宋体"/>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t</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8904.90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206.00 </w:t>
            </w:r>
          </w:p>
        </w:tc>
        <w:tc>
          <w:tcPr>
            <w:tcW w:w="13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1834409.40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新宋体" w:hAnsi="新宋体" w:eastAsia="新宋体" w:cs="新宋体"/>
                <w:i w:val="0"/>
                <w:color w:val="000000"/>
                <w:sz w:val="16"/>
                <w:szCs w:val="16"/>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22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3</w:t>
            </w:r>
          </w:p>
        </w:tc>
        <w:tc>
          <w:tcPr>
            <w:tcW w:w="13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水泥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32.5R</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2463848.97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0.49 </w:t>
            </w:r>
          </w:p>
        </w:tc>
        <w:tc>
          <w:tcPr>
            <w:tcW w:w="13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1207286.00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新宋体" w:hAnsi="新宋体" w:eastAsia="新宋体" w:cs="新宋体"/>
                <w:i w:val="0"/>
                <w:color w:val="000000"/>
                <w:sz w:val="16"/>
                <w:szCs w:val="16"/>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22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4</w:t>
            </w:r>
          </w:p>
        </w:tc>
        <w:tc>
          <w:tcPr>
            <w:tcW w:w="13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FYT-Ⅱ防水涂料</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新宋体" w:hAnsi="新宋体" w:eastAsia="新宋体" w:cs="新宋体"/>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3429.90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12.50 </w:t>
            </w:r>
          </w:p>
        </w:tc>
        <w:tc>
          <w:tcPr>
            <w:tcW w:w="13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42873.75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新宋体" w:hAnsi="新宋体" w:eastAsia="新宋体" w:cs="新宋体"/>
                <w:i w:val="0"/>
                <w:color w:val="000000"/>
                <w:sz w:val="16"/>
                <w:szCs w:val="16"/>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42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5</w:t>
            </w:r>
          </w:p>
        </w:tc>
        <w:tc>
          <w:tcPr>
            <w:tcW w:w="13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8mm厚陶钢复合板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新宋体" w:hAnsi="新宋体" w:eastAsia="新宋体" w:cs="新宋体"/>
                <w:i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m2</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425.92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170.00 </w:t>
            </w:r>
          </w:p>
        </w:tc>
        <w:tc>
          <w:tcPr>
            <w:tcW w:w="13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72406.40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新宋体" w:hAnsi="新宋体" w:eastAsia="新宋体" w:cs="新宋体"/>
                <w:i w:val="0"/>
                <w:color w:val="000000"/>
                <w:sz w:val="16"/>
                <w:szCs w:val="16"/>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42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6</w:t>
            </w:r>
          </w:p>
        </w:tc>
        <w:tc>
          <w:tcPr>
            <w:tcW w:w="13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隧道专用防火涂料</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防火面漆</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635.30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7.00 </w:t>
            </w:r>
          </w:p>
        </w:tc>
        <w:tc>
          <w:tcPr>
            <w:tcW w:w="13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4447.10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新宋体" w:hAnsi="新宋体" w:eastAsia="新宋体" w:cs="新宋体"/>
                <w:i w:val="0"/>
                <w:color w:val="000000"/>
                <w:sz w:val="16"/>
                <w:szCs w:val="16"/>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42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7</w:t>
            </w:r>
          </w:p>
        </w:tc>
        <w:tc>
          <w:tcPr>
            <w:tcW w:w="13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油漆</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RAL国际色卡 7047号灰色</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1531.74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9.00 </w:t>
            </w:r>
          </w:p>
        </w:tc>
        <w:tc>
          <w:tcPr>
            <w:tcW w:w="13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13785.66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新宋体" w:hAnsi="新宋体" w:eastAsia="新宋体" w:cs="新宋体"/>
                <w:i w:val="0"/>
                <w:color w:val="000000"/>
                <w:sz w:val="16"/>
                <w:szCs w:val="16"/>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540"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b/>
                <w:i w:val="0"/>
                <w:color w:val="000000"/>
                <w:sz w:val="16"/>
                <w:szCs w:val="16"/>
                <w:u w:val="none"/>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16"/>
                <w:szCs w:val="16"/>
                <w:u w:val="none"/>
              </w:rPr>
            </w:pPr>
            <w:r>
              <w:rPr>
                <w:rFonts w:hint="eastAsia" w:ascii="新宋体" w:hAnsi="新宋体" w:eastAsia="新宋体" w:cs="新宋体"/>
                <w:b/>
                <w:i w:val="0"/>
                <w:color w:val="000000"/>
                <w:kern w:val="0"/>
                <w:sz w:val="16"/>
                <w:szCs w:val="16"/>
                <w:u w:val="none"/>
                <w:lang w:val="en-US" w:eastAsia="zh-CN" w:bidi="ar"/>
              </w:rPr>
              <w:t>合      计（元）</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b/>
                <w:i w:val="0"/>
                <w:color w:val="000000"/>
                <w:sz w:val="16"/>
                <w:szCs w:val="16"/>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b/>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b/>
                <w:i w:val="0"/>
                <w:color w:val="000000"/>
                <w:sz w:val="16"/>
                <w:szCs w:val="16"/>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16"/>
                <w:szCs w:val="16"/>
                <w:u w:val="none"/>
              </w:rPr>
            </w:pPr>
            <w:r>
              <w:rPr>
                <w:rFonts w:hint="eastAsia" w:ascii="新宋体" w:hAnsi="新宋体" w:eastAsia="新宋体" w:cs="新宋体"/>
                <w:b/>
                <w:i w:val="0"/>
                <w:color w:val="000000"/>
                <w:kern w:val="0"/>
                <w:sz w:val="16"/>
                <w:szCs w:val="16"/>
                <w:u w:val="none"/>
                <w:lang w:val="en-US" w:eastAsia="zh-CN" w:bidi="ar"/>
              </w:rPr>
              <w:t xml:space="preserve">6357571.94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b/>
                <w:i w:val="0"/>
                <w:color w:val="000000"/>
                <w:sz w:val="16"/>
                <w:szCs w:val="16"/>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b/>
                <w:i w:val="0"/>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b/>
                <w:i w:val="0"/>
                <w:color w:val="000000"/>
                <w:sz w:val="16"/>
                <w:szCs w:val="16"/>
                <w:u w:val="none"/>
              </w:rPr>
            </w:pPr>
          </w:p>
        </w:tc>
      </w:tr>
    </w:tbl>
    <w:p>
      <w:pPr>
        <w:widowControl/>
        <w:numPr>
          <w:ilvl w:val="255"/>
          <w:numId w:val="0"/>
        </w:numPr>
        <w:spacing w:line="240" w:lineRule="auto"/>
        <w:ind w:firstLine="0" w:firstLineChars="0"/>
        <w:jc w:val="left"/>
        <w:outlineLvl w:val="4"/>
        <w:rPr>
          <w:rFonts w:ascii="宋体" w:cs="宋体"/>
          <w:sz w:val="28"/>
          <w:szCs w:val="28"/>
          <w:highlight w:val="none"/>
        </w:rPr>
      </w:pPr>
      <w:r>
        <w:rPr>
          <w:rFonts w:hint="eastAsia" w:ascii="Times New Roman" w:hAnsi="Times New Roman" w:cs="Times New Roman"/>
          <w:color w:val="auto"/>
          <w:kern w:val="0"/>
          <w:sz w:val="24"/>
          <w:szCs w:val="24"/>
          <w:highlight w:val="none"/>
        </w:rPr>
        <w:t>备注：</w:t>
      </w:r>
      <w:r>
        <w:rPr>
          <w:rFonts w:hint="eastAsia" w:ascii="Times New Roman" w:hAnsi="Times New Roman"/>
          <w:kern w:val="0"/>
          <w:sz w:val="24"/>
          <w:szCs w:val="24"/>
          <w:highlight w:val="none"/>
        </w:rPr>
        <w:t>材料单价为到场含税价，含材料费、</w:t>
      </w:r>
      <w:r>
        <w:rPr>
          <w:rFonts w:hint="eastAsia" w:ascii="Times New Roman" w:hAnsi="Times New Roman"/>
          <w:kern w:val="0"/>
          <w:sz w:val="24"/>
          <w:szCs w:val="24"/>
          <w:highlight w:val="none"/>
          <w:lang w:val="en-US" w:eastAsia="zh-CN"/>
        </w:rPr>
        <w:t>上下车费、</w:t>
      </w:r>
      <w:r>
        <w:rPr>
          <w:rFonts w:hint="eastAsia" w:ascii="Times New Roman" w:hAnsi="Times New Roman"/>
          <w:kern w:val="0"/>
          <w:sz w:val="24"/>
          <w:szCs w:val="24"/>
          <w:highlight w:val="none"/>
        </w:rPr>
        <w:t>运输费、税金(13%)等一切相关费用。</w:t>
      </w: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none"/>
          <w:lang w:val="en-US" w:eastAsia="zh-CN"/>
        </w:rPr>
        <w:t xml:space="preserve">              </w:t>
      </w:r>
      <w:r>
        <w:rPr>
          <w:rFonts w:hint="eastAsia" w:ascii="宋体" w:hAnsi="宋体" w:cs="宋体"/>
          <w:sz w:val="28"/>
          <w:szCs w:val="28"/>
          <w:u w:val="none"/>
        </w:rPr>
        <w:t>（签字）</w:t>
      </w:r>
    </w:p>
    <w:p>
      <w:pPr>
        <w:ind w:firstLine="2800" w:firstLineChars="1000"/>
        <w:rPr>
          <w:rFonts w:ascii="宋体" w:cs="宋体"/>
          <w:b/>
          <w:sz w:val="28"/>
          <w:szCs w:val="28"/>
        </w:rPr>
      </w:pPr>
      <w:r>
        <w:rPr>
          <w:rFonts w:hint="eastAsia" w:ascii="Times New Roman" w:hAnsi="Times New Roman" w:cs="宋体"/>
          <w:sz w:val="28"/>
          <w:szCs w:val="28"/>
        </w:rPr>
        <w:t>日期：</w:t>
      </w:r>
      <w:r>
        <w:rPr>
          <w:rFonts w:hint="eastAsia" w:ascii="Times New Roman" w:hAnsi="Times New Roman" w:cs="宋体"/>
          <w:sz w:val="28"/>
          <w:szCs w:val="28"/>
          <w:lang w:val="en-US" w:eastAsia="zh-CN"/>
        </w:rPr>
        <w:t>2021</w:t>
      </w:r>
      <w:r>
        <w:rPr>
          <w:rFonts w:hint="eastAsia" w:ascii="Times New Roman" w:hAnsi="Times New Roman" w:cs="宋体"/>
          <w:sz w:val="28"/>
          <w:szCs w:val="28"/>
        </w:rPr>
        <w:t>年</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月</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tabs>
          <w:tab w:val="left" w:pos="670"/>
          <w:tab w:val="center" w:pos="4252"/>
        </w:tabs>
        <w:spacing w:line="360" w:lineRule="auto"/>
        <w:jc w:val="center"/>
        <w:outlineLvl w:val="3"/>
        <w:rPr>
          <w:rFonts w:hint="eastAsia" w:ascii="黑体" w:hAnsi="宋体" w:eastAsia="黑体"/>
          <w:b/>
          <w:sz w:val="44"/>
          <w:szCs w:val="44"/>
        </w:rPr>
      </w:pPr>
      <w:r>
        <w:rPr>
          <w:rFonts w:hint="eastAsia" w:ascii="黑体" w:hAnsi="宋体" w:eastAsia="黑体"/>
          <w:b/>
          <w:sz w:val="44"/>
          <w:szCs w:val="44"/>
          <w:lang w:val="en-US" w:eastAsia="zh-CN"/>
        </w:rPr>
        <w:t>ABB项目南侧</w:t>
      </w:r>
      <w:r>
        <w:rPr>
          <w:rFonts w:hint="eastAsia" w:ascii="黑体" w:hAnsi="宋体" w:eastAsia="黑体"/>
          <w:b/>
          <w:sz w:val="44"/>
          <w:szCs w:val="44"/>
        </w:rPr>
        <w:t>道路工程</w:t>
      </w:r>
    </w:p>
    <w:p>
      <w:pPr>
        <w:tabs>
          <w:tab w:val="left" w:pos="670"/>
          <w:tab w:val="center" w:pos="4252"/>
        </w:tabs>
        <w:adjustRightInd/>
        <w:snapToGrid/>
        <w:spacing w:line="360" w:lineRule="auto"/>
        <w:ind w:left="0" w:leftChars="0"/>
        <w:jc w:val="center"/>
        <w:outlineLvl w:val="3"/>
        <w:rPr>
          <w:rFonts w:ascii="黑体" w:hAnsi="宋体" w:eastAsia="黑体"/>
          <w:b/>
          <w:sz w:val="44"/>
          <w:szCs w:val="44"/>
        </w:rPr>
      </w:pPr>
      <w:r>
        <w:rPr>
          <w:rFonts w:hint="eastAsia" w:ascii="黑体" w:hAnsi="宋体" w:eastAsia="黑体" w:cs="Times New Roman"/>
          <w:b/>
          <w:bCs w:val="0"/>
          <w:sz w:val="44"/>
          <w:szCs w:val="44"/>
          <w:u w:val="none"/>
          <w:lang w:val="en-US" w:eastAsia="zh-CN"/>
        </w:rPr>
        <w:t>砂石、水泥、防水涂料采购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none"/>
        </w:rPr>
      </w:pPr>
      <w:r>
        <w:rPr>
          <w:rFonts w:hint="eastAsia" w:cs="宋体"/>
          <w:b/>
          <w:sz w:val="32"/>
          <w:szCs w:val="32"/>
        </w:rPr>
        <w:t>投标人：</w:t>
      </w:r>
      <w:r>
        <w:rPr>
          <w:rFonts w:hint="eastAsia" w:cs="宋体"/>
          <w:b/>
          <w:sz w:val="32"/>
          <w:szCs w:val="32"/>
          <w:lang w:val="en-US" w:eastAsia="zh-CN"/>
        </w:rPr>
        <w:t xml:space="preserve">                    </w:t>
      </w:r>
      <w:r>
        <w:rPr>
          <w:rFonts w:hint="eastAsia" w:cs="宋体"/>
          <w:b/>
          <w:sz w:val="32"/>
          <w:szCs w:val="32"/>
          <w:u w:val="non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3" w:type="default"/>
      <w:pgSz w:w="11906" w:h="16838"/>
      <w:pgMar w:top="1417" w:right="1134" w:bottom="721" w:left="10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第 </w:t>
    </w:r>
    <w:r>
      <w:fldChar w:fldCharType="begin"/>
    </w:r>
    <w:r>
      <w:instrText xml:space="preserve"> PAGE   \* MERGEFORMAT </w:instrText>
    </w:r>
    <w:r>
      <w:fldChar w:fldCharType="separate"/>
    </w:r>
    <w:r>
      <w:rPr>
        <w:lang w:val="zh-CN"/>
      </w:rPr>
      <w:t>4</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51DB0"/>
    <w:multiLevelType w:val="singleLevel"/>
    <w:tmpl w:val="33C51DB0"/>
    <w:lvl w:ilvl="0" w:tentative="0">
      <w:start w:val="4"/>
      <w:numFmt w:val="chineseCounting"/>
      <w:suff w:val="nothing"/>
      <w:lvlText w:val="%1、"/>
      <w:lvlJc w:val="left"/>
      <w:rPr>
        <w:rFonts w:hint="eastAsia"/>
      </w:rPr>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F2B73"/>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8003B9F"/>
    <w:rsid w:val="08943C95"/>
    <w:rsid w:val="0CE42F32"/>
    <w:rsid w:val="0D3D64DE"/>
    <w:rsid w:val="0E3365A1"/>
    <w:rsid w:val="0F04372B"/>
    <w:rsid w:val="15587A4A"/>
    <w:rsid w:val="158A1B96"/>
    <w:rsid w:val="166C602D"/>
    <w:rsid w:val="1783596C"/>
    <w:rsid w:val="196F01D6"/>
    <w:rsid w:val="1B251DB8"/>
    <w:rsid w:val="1B966371"/>
    <w:rsid w:val="1D126887"/>
    <w:rsid w:val="1DE36F2E"/>
    <w:rsid w:val="1DF51A51"/>
    <w:rsid w:val="20862ACA"/>
    <w:rsid w:val="21940678"/>
    <w:rsid w:val="23BD037B"/>
    <w:rsid w:val="264B1B6E"/>
    <w:rsid w:val="28D50BF3"/>
    <w:rsid w:val="2CA63217"/>
    <w:rsid w:val="30D211E9"/>
    <w:rsid w:val="32743B9C"/>
    <w:rsid w:val="333D3E3E"/>
    <w:rsid w:val="33F14301"/>
    <w:rsid w:val="37F0702D"/>
    <w:rsid w:val="3E251E7F"/>
    <w:rsid w:val="3F337C7B"/>
    <w:rsid w:val="3FE404AA"/>
    <w:rsid w:val="44723B2F"/>
    <w:rsid w:val="45997357"/>
    <w:rsid w:val="4880484F"/>
    <w:rsid w:val="4CD96723"/>
    <w:rsid w:val="4CF53626"/>
    <w:rsid w:val="4D866A4E"/>
    <w:rsid w:val="4E7F0C23"/>
    <w:rsid w:val="4FB913F4"/>
    <w:rsid w:val="5095162A"/>
    <w:rsid w:val="50F37175"/>
    <w:rsid w:val="512B6619"/>
    <w:rsid w:val="52DA4067"/>
    <w:rsid w:val="52DD2B0F"/>
    <w:rsid w:val="53DC1BF5"/>
    <w:rsid w:val="54191EF0"/>
    <w:rsid w:val="546F2A24"/>
    <w:rsid w:val="551A39EE"/>
    <w:rsid w:val="5729151C"/>
    <w:rsid w:val="57F61555"/>
    <w:rsid w:val="5A0818E3"/>
    <w:rsid w:val="60280473"/>
    <w:rsid w:val="614C5A91"/>
    <w:rsid w:val="617E67D5"/>
    <w:rsid w:val="64217E8B"/>
    <w:rsid w:val="66E716B0"/>
    <w:rsid w:val="68C24E3B"/>
    <w:rsid w:val="6B665431"/>
    <w:rsid w:val="6D8F4643"/>
    <w:rsid w:val="6E4614E6"/>
    <w:rsid w:val="6F35522F"/>
    <w:rsid w:val="709E1FAD"/>
    <w:rsid w:val="70A31C06"/>
    <w:rsid w:val="71774071"/>
    <w:rsid w:val="73EA1E5C"/>
    <w:rsid w:val="76C86DF1"/>
    <w:rsid w:val="7C505C4C"/>
    <w:rsid w:val="7C9F49B8"/>
    <w:rsid w:val="7D024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 w:type="character" w:customStyle="1" w:styleId="13">
    <w:name w:val="font11"/>
    <w:basedOn w:val="8"/>
    <w:qFormat/>
    <w:uiPriority w:val="0"/>
    <w:rPr>
      <w:rFonts w:ascii="新宋体" w:hAnsi="新宋体" w:eastAsia="新宋体" w:cs="新宋体"/>
      <w:color w:val="000000"/>
      <w:sz w:val="20"/>
      <w:szCs w:val="20"/>
      <w:u w:val="none"/>
    </w:rPr>
  </w:style>
  <w:style w:type="character" w:customStyle="1" w:styleId="14">
    <w:name w:val="font41"/>
    <w:basedOn w:val="8"/>
    <w:qFormat/>
    <w:uiPriority w:val="0"/>
    <w:rPr>
      <w:rFonts w:hint="default" w:ascii="Times New Roman" w:hAnsi="Times New Roman" w:cs="Times New Roman"/>
      <w:color w:val="000000"/>
      <w:sz w:val="20"/>
      <w:szCs w:val="20"/>
      <w:u w:val="none"/>
    </w:rPr>
  </w:style>
  <w:style w:type="character" w:customStyle="1" w:styleId="15">
    <w:name w:val="font21"/>
    <w:basedOn w:val="8"/>
    <w:qFormat/>
    <w:uiPriority w:val="0"/>
    <w:rPr>
      <w:rFonts w:hint="eastAsia" w:ascii="宋体" w:hAnsi="宋体" w:eastAsia="宋体" w:cs="宋体"/>
      <w:color w:val="000000"/>
      <w:sz w:val="20"/>
      <w:szCs w:val="20"/>
      <w:u w:val="none"/>
    </w:rPr>
  </w:style>
  <w:style w:type="character" w:customStyle="1" w:styleId="16">
    <w:name w:val="font31"/>
    <w:basedOn w:val="8"/>
    <w:qFormat/>
    <w:uiPriority w:val="0"/>
    <w:rPr>
      <w:rFonts w:hint="default" w:ascii="Times New Roman" w:hAnsi="Times New Roman" w:cs="Times New Roman"/>
      <w:color w:val="000000"/>
      <w:sz w:val="20"/>
      <w:szCs w:val="20"/>
      <w:u w:val="none"/>
    </w:rPr>
  </w:style>
  <w:style w:type="character" w:customStyle="1" w:styleId="17">
    <w:name w:val="font01"/>
    <w:basedOn w:val="8"/>
    <w:qFormat/>
    <w:uiPriority w:val="0"/>
    <w:rPr>
      <w:rFonts w:hint="eastAsia" w:ascii="宋体" w:hAnsi="宋体" w:eastAsia="宋体" w:cs="宋体"/>
      <w:color w:val="000000"/>
      <w:sz w:val="20"/>
      <w:szCs w:val="20"/>
      <w:u w:val="none"/>
    </w:rPr>
  </w:style>
  <w:style w:type="character" w:customStyle="1" w:styleId="18">
    <w:name w:val="font101"/>
    <w:basedOn w:val="8"/>
    <w:qFormat/>
    <w:uiPriority w:val="0"/>
    <w:rPr>
      <w:rFonts w:hint="eastAsia" w:ascii="新宋体" w:hAnsi="新宋体" w:eastAsia="新宋体" w:cs="新宋体"/>
      <w:color w:val="000000"/>
      <w:sz w:val="16"/>
      <w:szCs w:val="16"/>
      <w:u w:val="none"/>
    </w:rPr>
  </w:style>
  <w:style w:type="character" w:customStyle="1" w:styleId="19">
    <w:name w:val="font61"/>
    <w:basedOn w:val="8"/>
    <w:qFormat/>
    <w:uiPriority w:val="0"/>
    <w:rPr>
      <w:rFonts w:hint="default" w:ascii="Times New Roman" w:hAnsi="Times New Roman" w:cs="Times New Roman"/>
      <w:b/>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5</TotalTime>
  <ScaleCrop>false</ScaleCrop>
  <LinksUpToDate>false</LinksUpToDate>
  <CharactersWithSpaces>13714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2020-04-24T01:20:00Z</cp:lastPrinted>
  <dcterms:modified xsi:type="dcterms:W3CDTF">2021-02-22T07:18:36Z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