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color w:val="auto"/>
          <w:sz w:val="28"/>
          <w:szCs w:val="28"/>
          <w:highlight w:val="none"/>
        </w:rPr>
      </w:pPr>
    </w:p>
    <w:p>
      <w:pPr>
        <w:tabs>
          <w:tab w:val="left" w:pos="670"/>
          <w:tab w:val="center" w:pos="4252"/>
        </w:tabs>
        <w:spacing w:line="360" w:lineRule="auto"/>
        <w:jc w:val="center"/>
        <w:outlineLvl w:val="3"/>
        <w:rPr>
          <w:rFonts w:hint="eastAsia" w:ascii="黑体" w:hAnsi="宋体" w:eastAsia="黑体" w:cs="黑体"/>
          <w:b/>
          <w:color w:val="auto"/>
          <w:sz w:val="44"/>
          <w:szCs w:val="44"/>
          <w:highlight w:val="none"/>
        </w:rPr>
      </w:pPr>
      <w:r>
        <w:rPr>
          <w:rFonts w:hint="eastAsia" w:ascii="黑体" w:hAnsi="宋体" w:eastAsia="黑体" w:cs="黑体"/>
          <w:b/>
          <w:color w:val="auto"/>
          <w:sz w:val="44"/>
          <w:szCs w:val="44"/>
          <w:highlight w:val="none"/>
        </w:rPr>
        <w:t>重庆对外建设（集团）有限公司</w:t>
      </w:r>
    </w:p>
    <w:p>
      <w:pPr>
        <w:tabs>
          <w:tab w:val="left" w:pos="670"/>
          <w:tab w:val="center" w:pos="4252"/>
        </w:tabs>
        <w:spacing w:line="360" w:lineRule="auto"/>
        <w:jc w:val="center"/>
        <w:outlineLvl w:val="3"/>
        <w:rPr>
          <w:rFonts w:hint="default" w:ascii="黑体" w:hAnsi="宋体" w:eastAsia="黑体" w:cs="黑体"/>
          <w:b/>
          <w:color w:val="auto"/>
          <w:sz w:val="44"/>
          <w:szCs w:val="44"/>
          <w:highlight w:val="none"/>
          <w:lang w:val="en-US"/>
        </w:rPr>
      </w:pPr>
      <w:r>
        <w:rPr>
          <w:rFonts w:hint="eastAsia" w:ascii="黑体" w:hAnsi="宋体" w:eastAsia="黑体" w:cs="黑体"/>
          <w:b/>
          <w:color w:val="auto"/>
          <w:sz w:val="44"/>
          <w:szCs w:val="44"/>
          <w:highlight w:val="none"/>
          <w:lang w:val="en-US" w:eastAsia="zh-CN"/>
        </w:rPr>
        <w:t xml:space="preserve"> 方悦立交工程土石方运输</w:t>
      </w:r>
    </w:p>
    <w:p>
      <w:pPr>
        <w:tabs>
          <w:tab w:val="left" w:pos="670"/>
          <w:tab w:val="center" w:pos="4252"/>
        </w:tabs>
        <w:spacing w:line="360" w:lineRule="auto"/>
        <w:ind w:left="-199" w:leftChars="-95" w:right="-313" w:rightChars="-149" w:firstLine="192" w:firstLineChars="20"/>
        <w:jc w:val="center"/>
        <w:outlineLvl w:val="3"/>
        <w:rPr>
          <w:rFonts w:hint="eastAsia"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黑体" w:hAnsi="宋体" w:eastAsia="黑体" w:cs="黑体"/>
          <w:color w:val="auto"/>
          <w:sz w:val="96"/>
          <w:szCs w:val="96"/>
          <w:highlight w:val="none"/>
        </w:rPr>
      </w:pPr>
    </w:p>
    <w:p>
      <w:pPr>
        <w:tabs>
          <w:tab w:val="left" w:pos="670"/>
          <w:tab w:val="center" w:pos="4252"/>
        </w:tabs>
        <w:spacing w:line="360" w:lineRule="auto"/>
        <w:jc w:val="center"/>
        <w:rPr>
          <w:rFonts w:ascii="黑体" w:hAnsi="宋体" w:eastAsia="黑体" w:cs="黑体"/>
          <w:color w:val="auto"/>
          <w:sz w:val="96"/>
          <w:szCs w:val="96"/>
          <w:highlight w:val="none"/>
        </w:rPr>
      </w:pPr>
    </w:p>
    <w:p>
      <w:pPr>
        <w:tabs>
          <w:tab w:val="left" w:pos="670"/>
          <w:tab w:val="center" w:pos="4252"/>
        </w:tabs>
        <w:spacing w:line="360" w:lineRule="auto"/>
        <w:jc w:val="center"/>
        <w:rPr>
          <w:rFonts w:ascii="宋体" w:hAnsi="宋体" w:cs="宋体"/>
          <w:color w:val="auto"/>
          <w:sz w:val="96"/>
          <w:szCs w:val="96"/>
          <w:highlight w:val="none"/>
        </w:rPr>
      </w:pPr>
    </w:p>
    <w:p>
      <w:pPr>
        <w:spacing w:line="360" w:lineRule="auto"/>
        <w:ind w:firstLine="1680" w:firstLineChars="600"/>
        <w:rPr>
          <w:rFonts w:hint="default" w:ascii="宋体" w:hAnsi="宋体" w:eastAsia="宋体" w:cs="宋体"/>
          <w:color w:val="auto"/>
          <w:sz w:val="32"/>
          <w:highlight w:val="yellow"/>
          <w:u w:val="single"/>
          <w:lang w:val="en-US" w:eastAsia="zh-CN"/>
        </w:rPr>
      </w:pPr>
      <w:r>
        <w:rPr>
          <w:rFonts w:hint="eastAsia" w:ascii="宋体" w:hAnsi="宋体" w:cs="宋体"/>
          <w:color w:val="auto"/>
          <w:sz w:val="28"/>
          <w:highlight w:val="none"/>
        </w:rPr>
        <w:t>招采文件编号：</w:t>
      </w:r>
      <w:r>
        <w:rPr>
          <w:rFonts w:hint="eastAsia" w:ascii="宋体" w:hAnsi="宋体" w:cs="宋体"/>
          <w:color w:val="auto"/>
          <w:sz w:val="28"/>
          <w:highlight w:val="none"/>
          <w:lang w:val="en-US" w:eastAsia="zh-CN"/>
        </w:rPr>
        <w:t xml:space="preserve">2021-04-1004 </w:t>
      </w:r>
    </w:p>
    <w:p>
      <w:pPr>
        <w:spacing w:line="360" w:lineRule="auto"/>
        <w:jc w:val="center"/>
        <w:rPr>
          <w:rFonts w:ascii="宋体" w:hAnsi="宋体" w:cs="宋体"/>
          <w:b/>
          <w:color w:val="auto"/>
          <w:sz w:val="84"/>
          <w:highlight w:val="none"/>
        </w:rPr>
      </w:pPr>
      <w:r>
        <w:rPr>
          <w:rFonts w:hint="eastAsia" w:ascii="宋体" w:hAnsi="宋体" w:cs="宋体"/>
          <w:color w:val="auto"/>
          <w:sz w:val="28"/>
          <w:szCs w:val="28"/>
          <w:highlight w:val="none"/>
          <w:lang w:val="en-US" w:eastAsia="zh-CN"/>
        </w:rPr>
        <w:t xml:space="preserve">  2021</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日</w:t>
      </w:r>
    </w:p>
    <w:p>
      <w:pPr>
        <w:snapToGrid w:val="0"/>
        <w:spacing w:line="360" w:lineRule="auto"/>
        <w:jc w:val="center"/>
        <w:outlineLvl w:val="3"/>
        <w:rPr>
          <w:rFonts w:ascii="宋体" w:hAnsi="宋体" w:cs="宋体"/>
          <w:b/>
          <w:color w:val="auto"/>
          <w:sz w:val="30"/>
          <w:highlight w:val="none"/>
        </w:rPr>
      </w:pPr>
      <w:r>
        <w:rPr>
          <w:rFonts w:hint="eastAsia" w:ascii="宋体" w:hAnsi="宋体"/>
          <w:b/>
          <w:color w:val="auto"/>
          <w:sz w:val="30"/>
          <w:highlight w:val="none"/>
        </w:rPr>
        <w:br w:type="page"/>
      </w:r>
      <w:r>
        <w:rPr>
          <w:rFonts w:hint="eastAsia" w:ascii="宋体" w:hAnsi="宋体" w:cs="宋体"/>
          <w:b/>
          <w:color w:val="auto"/>
          <w:sz w:val="30"/>
          <w:highlight w:val="none"/>
        </w:rPr>
        <w:t>目   录</w:t>
      </w:r>
    </w:p>
    <w:p>
      <w:pPr>
        <w:snapToGrid w:val="0"/>
        <w:spacing w:line="360" w:lineRule="auto"/>
        <w:jc w:val="center"/>
        <w:rPr>
          <w:rFonts w:ascii="宋体" w:hAnsi="宋体" w:cs="宋体"/>
          <w:b/>
          <w:color w:val="auto"/>
          <w:sz w:val="30"/>
          <w:highlight w:val="none"/>
        </w:rPr>
      </w:pP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第一部分   投标邀请</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第二部分   投标人须知前附表</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第三部分   评审方法</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第四部分   投标人须知</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一、  说明</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二、  招采文件</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三、  投标文件</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四、  投标文件的递交</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五、  开标、评审</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六、  中选及合同签订</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第五部分   合同范本</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第六部分   投标文件格式</w:t>
      </w:r>
    </w:p>
    <w:p>
      <w:pPr>
        <w:snapToGrid w:val="0"/>
        <w:spacing w:line="360" w:lineRule="auto"/>
        <w:jc w:val="center"/>
        <w:outlineLvl w:val="3"/>
        <w:rPr>
          <w:rFonts w:ascii="宋体" w:hAnsi="宋体" w:cs="宋体"/>
          <w:b/>
          <w:color w:val="auto"/>
          <w:sz w:val="30"/>
          <w:highlight w:val="none"/>
        </w:rPr>
      </w:pPr>
      <w:r>
        <w:rPr>
          <w:rFonts w:hint="eastAsia" w:ascii="宋体" w:hAnsi="宋体"/>
          <w:color w:val="auto"/>
          <w:highlight w:val="none"/>
        </w:rPr>
        <w:br w:type="page"/>
      </w:r>
      <w:r>
        <w:rPr>
          <w:rFonts w:hint="eastAsia" w:ascii="宋体" w:hAnsi="宋体" w:cs="宋体"/>
          <w:b/>
          <w:color w:val="auto"/>
          <w:sz w:val="30"/>
          <w:highlight w:val="none"/>
        </w:rPr>
        <w:t xml:space="preserve">第一部分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投标邀请</w:t>
      </w:r>
    </w:p>
    <w:p>
      <w:pPr>
        <w:tabs>
          <w:tab w:val="left" w:pos="670"/>
          <w:tab w:val="center" w:pos="4252"/>
        </w:tabs>
        <w:spacing w:line="360" w:lineRule="auto"/>
        <w:jc w:val="both"/>
        <w:rPr>
          <w:rFonts w:ascii="宋体" w:hAnsi="宋体" w:cs="宋体"/>
          <w:color w:val="auto"/>
          <w:sz w:val="28"/>
          <w:highlight w:val="none"/>
        </w:rPr>
      </w:pPr>
      <w:r>
        <w:rPr>
          <w:rFonts w:hint="eastAsia" w:ascii="宋体" w:hAnsi="宋体" w:cs="宋体"/>
          <w:color w:val="auto"/>
          <w:sz w:val="28"/>
          <w:highlight w:val="none"/>
        </w:rPr>
        <w:t>重庆对外建设（集团）有限公司就</w:t>
      </w:r>
      <w:r>
        <w:rPr>
          <w:rFonts w:hint="eastAsia" w:ascii="宋体" w:hAnsi="宋体" w:cs="宋体"/>
          <w:color w:val="auto"/>
          <w:sz w:val="28"/>
          <w:szCs w:val="22"/>
          <w:highlight w:val="none"/>
          <w:u w:val="single"/>
          <w:lang w:val="en-US" w:eastAsia="zh-CN"/>
        </w:rPr>
        <w:t>方悦立交工程土石方运输</w:t>
      </w:r>
      <w:r>
        <w:rPr>
          <w:rFonts w:hint="eastAsia" w:ascii="宋体" w:hAnsi="宋体" w:cs="宋体"/>
          <w:color w:val="auto"/>
          <w:sz w:val="28"/>
          <w:highlight w:val="none"/>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default" w:asciiTheme="minorEastAsia" w:hAnsiTheme="minorEastAsia" w:eastAsiaTheme="minorEastAsia" w:cstheme="minorEastAsia"/>
          <w:b w:val="0"/>
          <w:bCs/>
          <w:color w:val="auto"/>
          <w:sz w:val="28"/>
          <w:szCs w:val="28"/>
          <w:highlight w:val="none"/>
          <w:u w:val="none"/>
          <w:lang w:val="en-US"/>
        </w:rPr>
      </w:pPr>
      <w:r>
        <w:rPr>
          <w:rFonts w:hint="eastAsia" w:asciiTheme="minorEastAsia" w:hAnsiTheme="minorEastAsia" w:eastAsiaTheme="minorEastAsia" w:cstheme="minorEastAsia"/>
          <w:b w:val="0"/>
          <w:bCs/>
          <w:color w:val="auto"/>
          <w:sz w:val="28"/>
          <w:szCs w:val="28"/>
          <w:highlight w:val="none"/>
          <w:u w:val="none"/>
        </w:rPr>
        <w:t>项目名称：</w:t>
      </w:r>
      <w:r>
        <w:rPr>
          <w:rFonts w:hint="eastAsia" w:asciiTheme="minorEastAsia" w:hAnsiTheme="minorEastAsia" w:eastAsiaTheme="minorEastAsia" w:cstheme="minorEastAsia"/>
          <w:b w:val="0"/>
          <w:bCs/>
          <w:color w:val="auto"/>
          <w:sz w:val="28"/>
          <w:szCs w:val="28"/>
          <w:highlight w:val="none"/>
          <w:u w:val="none"/>
          <w:lang w:val="en-US" w:eastAsia="zh-CN"/>
        </w:rPr>
        <w:t>方悦立交工程</w:t>
      </w:r>
    </w:p>
    <w:p>
      <w:pPr>
        <w:numPr>
          <w:ilvl w:val="0"/>
          <w:numId w:val="0"/>
        </w:numPr>
        <w:spacing w:line="500" w:lineRule="exact"/>
        <w:ind w:firstLine="560" w:firstLineChars="200"/>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2、</w:t>
      </w:r>
      <w:r>
        <w:rPr>
          <w:rFonts w:hint="eastAsia" w:asciiTheme="minorEastAsia" w:hAnsiTheme="minorEastAsia" w:eastAsiaTheme="minorEastAsia" w:cstheme="minorEastAsia"/>
          <w:b w:val="0"/>
          <w:bCs/>
          <w:color w:val="auto"/>
          <w:sz w:val="28"/>
          <w:szCs w:val="28"/>
          <w:highlight w:val="none"/>
          <w:u w:val="none"/>
        </w:rPr>
        <w:t>型号/技术规格</w:t>
      </w:r>
      <w:r>
        <w:rPr>
          <w:rFonts w:hint="eastAsia" w:asciiTheme="minorEastAsia" w:hAnsiTheme="minorEastAsia" w:eastAsiaTheme="minorEastAsia" w:cstheme="minorEastAsia"/>
          <w:b w:val="0"/>
          <w:bCs/>
          <w:color w:val="auto"/>
          <w:sz w:val="28"/>
          <w:szCs w:val="28"/>
          <w:highlight w:val="none"/>
          <w:u w:val="none"/>
          <w:lang w:eastAsia="zh-CN"/>
        </w:rPr>
        <w:t>、供货数量</w:t>
      </w:r>
      <w:r>
        <w:rPr>
          <w:rFonts w:hint="eastAsia" w:asciiTheme="minorEastAsia" w:hAnsiTheme="minorEastAsia" w:eastAsiaTheme="minorEastAsia" w:cstheme="minorEastAsia"/>
          <w:b w:val="0"/>
          <w:bCs/>
          <w:color w:val="auto"/>
          <w:sz w:val="28"/>
          <w:szCs w:val="28"/>
          <w:highlight w:val="none"/>
          <w:u w:val="none"/>
        </w:rPr>
        <w:t>：</w:t>
      </w:r>
      <w:r>
        <w:rPr>
          <w:rFonts w:hint="eastAsia" w:asciiTheme="minorEastAsia" w:hAnsiTheme="minorEastAsia" w:eastAsiaTheme="minorEastAsia" w:cstheme="minorEastAsia"/>
          <w:bCs/>
          <w:color w:val="auto"/>
          <w:sz w:val="28"/>
          <w:szCs w:val="28"/>
          <w:highlight w:val="none"/>
          <w:u w:val="none"/>
          <w:lang w:val="en-US" w:eastAsia="zh-CN"/>
        </w:rPr>
        <w:t>场内运输约2350车；场外运输约6200车。</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3、供货周期</w:t>
      </w:r>
      <w:r>
        <w:rPr>
          <w:rFonts w:hint="eastAsia" w:asciiTheme="minorEastAsia" w:hAnsiTheme="minorEastAsia" w:eastAsiaTheme="minorEastAsia" w:cstheme="minorEastAsia"/>
          <w:b w:val="0"/>
          <w:bCs/>
          <w:color w:val="auto"/>
          <w:sz w:val="28"/>
          <w:szCs w:val="28"/>
          <w:highlight w:val="none"/>
          <w:u w:val="none"/>
        </w:rPr>
        <w:t>：</w:t>
      </w:r>
      <w:r>
        <w:rPr>
          <w:rFonts w:hint="eastAsia" w:ascii="宋体" w:hAnsi="宋体" w:cs="宋体"/>
          <w:bCs/>
          <w:color w:val="auto"/>
          <w:sz w:val="28"/>
          <w:u w:val="single"/>
        </w:rPr>
        <w:t>暂</w:t>
      </w:r>
      <w:r>
        <w:rPr>
          <w:rFonts w:hint="eastAsia" w:ascii="宋体" w:hAnsi="宋体" w:cs="宋体"/>
          <w:bCs/>
          <w:color w:val="auto"/>
          <w:sz w:val="28"/>
          <w:u w:val="single"/>
          <w:lang w:eastAsia="zh-CN"/>
        </w:rPr>
        <w:t>定</w:t>
      </w:r>
      <w:r>
        <w:rPr>
          <w:rFonts w:hint="eastAsia" w:ascii="宋体" w:hAnsi="宋体" w:cs="宋体"/>
          <w:bCs/>
          <w:color w:val="auto"/>
          <w:sz w:val="28"/>
          <w:u w:val="single"/>
          <w:lang w:val="en-US" w:eastAsia="zh-CN"/>
        </w:rPr>
        <w:t>350天</w:t>
      </w:r>
      <w:r>
        <w:rPr>
          <w:rFonts w:hint="eastAsia" w:asciiTheme="minorEastAsia" w:hAnsiTheme="minorEastAsia" w:eastAsiaTheme="minorEastAsia" w:cstheme="minorEastAsia"/>
          <w:b w:val="0"/>
          <w:bCs/>
          <w:color w:val="auto"/>
          <w:sz w:val="28"/>
          <w:szCs w:val="28"/>
          <w:highlight w:val="none"/>
          <w:u w:val="none"/>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4、</w:t>
      </w:r>
      <w:r>
        <w:rPr>
          <w:rFonts w:hint="eastAsia" w:asciiTheme="minorEastAsia" w:hAnsiTheme="minorEastAsia" w:eastAsiaTheme="minorEastAsia" w:cstheme="minorEastAsia"/>
          <w:b w:val="0"/>
          <w:bCs/>
          <w:color w:val="auto"/>
          <w:sz w:val="28"/>
          <w:szCs w:val="28"/>
          <w:highlight w:val="none"/>
          <w:u w:val="none"/>
        </w:rPr>
        <w:t>供货地点：</w:t>
      </w:r>
      <w:r>
        <w:rPr>
          <w:rFonts w:hint="eastAsia" w:asciiTheme="minorEastAsia" w:hAnsiTheme="minorEastAsia" w:eastAsiaTheme="minorEastAsia" w:cstheme="minorEastAsia"/>
          <w:bCs/>
          <w:color w:val="auto"/>
          <w:kern w:val="2"/>
          <w:sz w:val="28"/>
          <w:szCs w:val="28"/>
          <w:highlight w:val="none"/>
          <w:u w:val="none"/>
        </w:rPr>
        <w:t>重庆两江新区水土高新技术产业园</w:t>
      </w:r>
      <w:r>
        <w:rPr>
          <w:rFonts w:hint="eastAsia" w:asciiTheme="minorEastAsia" w:hAnsiTheme="minorEastAsia" w:eastAsiaTheme="minorEastAsia" w:cstheme="minorEastAsia"/>
          <w:bCs/>
          <w:color w:val="auto"/>
          <w:kern w:val="2"/>
          <w:sz w:val="28"/>
          <w:szCs w:val="28"/>
          <w:highlight w:val="none"/>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5、</w:t>
      </w:r>
      <w:r>
        <w:rPr>
          <w:rFonts w:hint="eastAsia" w:asciiTheme="minorEastAsia" w:hAnsiTheme="minorEastAsia" w:eastAsiaTheme="minorEastAsia" w:cstheme="minorEastAsia"/>
          <w:b w:val="0"/>
          <w:bCs/>
          <w:color w:val="auto"/>
          <w:sz w:val="28"/>
          <w:szCs w:val="28"/>
          <w:highlight w:val="none"/>
          <w:u w:val="none"/>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6、</w:t>
      </w:r>
      <w:r>
        <w:rPr>
          <w:rFonts w:hint="eastAsia" w:asciiTheme="minorEastAsia" w:hAnsiTheme="minorEastAsia" w:eastAsiaTheme="minorEastAsia" w:cstheme="minorEastAsia"/>
          <w:b w:val="0"/>
          <w:bCs/>
          <w:color w:val="auto"/>
          <w:sz w:val="28"/>
          <w:szCs w:val="28"/>
          <w:highlight w:val="none"/>
          <w:u w:val="none"/>
        </w:rPr>
        <w:t>招采文件发放时间：</w:t>
      </w:r>
      <w:r>
        <w:rPr>
          <w:rFonts w:hint="eastAsia" w:asciiTheme="minorEastAsia" w:hAnsiTheme="minorEastAsia" w:eastAsiaTheme="minorEastAsia" w:cstheme="minorEastAsia"/>
          <w:b w:val="0"/>
          <w:bCs/>
          <w:color w:val="auto"/>
          <w:sz w:val="28"/>
          <w:szCs w:val="28"/>
          <w:highlight w:val="none"/>
          <w:u w:val="none"/>
          <w:lang w:val="en-US" w:eastAsia="zh-CN"/>
        </w:rPr>
        <w:t xml:space="preserve"> 2021</w:t>
      </w:r>
      <w:r>
        <w:rPr>
          <w:rFonts w:hint="eastAsia" w:asciiTheme="minorEastAsia" w:hAnsiTheme="minorEastAsia" w:eastAsiaTheme="minorEastAsia" w:cstheme="minorEastAsia"/>
          <w:b w:val="0"/>
          <w:bCs/>
          <w:color w:val="auto"/>
          <w:sz w:val="28"/>
          <w:szCs w:val="28"/>
          <w:highlight w:val="none"/>
          <w:u w:val="none"/>
        </w:rPr>
        <w:t>年</w:t>
      </w:r>
      <w:r>
        <w:rPr>
          <w:rFonts w:hint="eastAsia" w:asciiTheme="minorEastAsia" w:hAnsiTheme="minorEastAsia" w:eastAsiaTheme="minorEastAsia" w:cstheme="minorEastAsia"/>
          <w:b w:val="0"/>
          <w:bCs/>
          <w:color w:val="auto"/>
          <w:sz w:val="28"/>
          <w:szCs w:val="28"/>
          <w:highlight w:val="none"/>
          <w:u w:val="none"/>
          <w:lang w:val="en-US" w:eastAsia="zh-CN"/>
        </w:rPr>
        <w:t>3</w:t>
      </w:r>
      <w:r>
        <w:rPr>
          <w:rFonts w:hint="eastAsia" w:asciiTheme="minorEastAsia" w:hAnsiTheme="minorEastAsia" w:eastAsiaTheme="minorEastAsia" w:cstheme="minorEastAsia"/>
          <w:b w:val="0"/>
          <w:bCs/>
          <w:color w:val="auto"/>
          <w:sz w:val="28"/>
          <w:szCs w:val="28"/>
          <w:highlight w:val="none"/>
          <w:u w:val="none"/>
        </w:rPr>
        <w:t>月</w:t>
      </w:r>
      <w:r>
        <w:rPr>
          <w:rFonts w:hint="eastAsia" w:asciiTheme="minorEastAsia" w:hAnsiTheme="minorEastAsia" w:eastAsiaTheme="minorEastAsia" w:cstheme="minorEastAsia"/>
          <w:b w:val="0"/>
          <w:bCs/>
          <w:color w:val="auto"/>
          <w:sz w:val="28"/>
          <w:szCs w:val="28"/>
          <w:highlight w:val="none"/>
          <w:u w:val="none"/>
          <w:lang w:val="en-US" w:eastAsia="zh-CN"/>
        </w:rPr>
        <w:t>15</w:t>
      </w:r>
      <w:r>
        <w:rPr>
          <w:rFonts w:hint="eastAsia" w:asciiTheme="minorEastAsia" w:hAnsiTheme="minorEastAsia" w:eastAsiaTheme="minorEastAsia" w:cstheme="minorEastAsia"/>
          <w:b w:val="0"/>
          <w:bCs/>
          <w:color w:val="auto"/>
          <w:sz w:val="28"/>
          <w:szCs w:val="28"/>
          <w:highlight w:val="none"/>
          <w:u w:val="none"/>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7、</w:t>
      </w:r>
      <w:r>
        <w:rPr>
          <w:rFonts w:hint="eastAsia" w:asciiTheme="minorEastAsia" w:hAnsiTheme="minorEastAsia" w:eastAsiaTheme="minorEastAsia" w:cstheme="minorEastAsia"/>
          <w:b w:val="0"/>
          <w:bCs/>
          <w:color w:val="auto"/>
          <w:sz w:val="28"/>
          <w:szCs w:val="28"/>
          <w:highlight w:val="none"/>
          <w:u w:val="none"/>
          <w:lang w:eastAsia="zh-CN"/>
        </w:rPr>
        <w:t>公示时间及网址</w:t>
      </w:r>
      <w:r>
        <w:rPr>
          <w:rFonts w:hint="eastAsia" w:asciiTheme="minorEastAsia" w:hAnsiTheme="minorEastAsia" w:eastAsiaTheme="minorEastAsia" w:cstheme="minorEastAsia"/>
          <w:b w:val="0"/>
          <w:bCs/>
          <w:color w:val="auto"/>
          <w:sz w:val="28"/>
          <w:szCs w:val="28"/>
          <w:highlight w:val="none"/>
          <w:u w:val="none"/>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8、</w:t>
      </w:r>
      <w:r>
        <w:rPr>
          <w:rFonts w:hint="eastAsia" w:asciiTheme="minorEastAsia" w:hAnsiTheme="minorEastAsia" w:eastAsiaTheme="minorEastAsia" w:cstheme="minorEastAsia"/>
          <w:b w:val="0"/>
          <w:bCs/>
          <w:color w:val="auto"/>
          <w:sz w:val="28"/>
          <w:szCs w:val="28"/>
          <w:highlight w:val="none"/>
          <w:u w:val="none"/>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single"/>
        </w:rPr>
      </w:pPr>
      <w:r>
        <w:rPr>
          <w:rFonts w:hint="eastAsia" w:asciiTheme="minorEastAsia" w:hAnsiTheme="minorEastAsia" w:eastAsiaTheme="minorEastAsia" w:cstheme="minorEastAsia"/>
          <w:b w:val="0"/>
          <w:bCs/>
          <w:color w:val="auto"/>
          <w:sz w:val="28"/>
          <w:szCs w:val="28"/>
          <w:highlight w:val="none"/>
          <w:u w:val="none"/>
          <w:lang w:val="en-US" w:eastAsia="zh-CN"/>
        </w:rPr>
        <w:t>9、</w:t>
      </w:r>
      <w:r>
        <w:rPr>
          <w:rFonts w:hint="eastAsia" w:asciiTheme="minorEastAsia" w:hAnsiTheme="minorEastAsia" w:eastAsiaTheme="minorEastAsia" w:cstheme="minorEastAsia"/>
          <w:b w:val="0"/>
          <w:bCs/>
          <w:color w:val="auto"/>
          <w:sz w:val="28"/>
          <w:szCs w:val="28"/>
          <w:highlight w:val="none"/>
          <w:u w:val="none"/>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auto"/>
          <w:sz w:val="28"/>
          <w:szCs w:val="28"/>
          <w:highlight w:val="none"/>
          <w:u w:val="none"/>
          <w:lang w:eastAsia="zh-CN"/>
        </w:rPr>
        <w:t>法定代表人资格证明书、</w:t>
      </w:r>
      <w:r>
        <w:rPr>
          <w:rFonts w:hint="eastAsia" w:asciiTheme="minorEastAsia" w:hAnsiTheme="minorEastAsia" w:eastAsiaTheme="minorEastAsia" w:cstheme="minorEastAsia"/>
          <w:b w:val="0"/>
          <w:bCs/>
          <w:color w:val="auto"/>
          <w:sz w:val="28"/>
          <w:szCs w:val="28"/>
          <w:highlight w:val="none"/>
          <w:u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采购单位联系人：</w:t>
      </w:r>
      <w:r>
        <w:rPr>
          <w:rFonts w:hint="eastAsia" w:asciiTheme="minorEastAsia" w:hAnsiTheme="minorEastAsia" w:eastAsiaTheme="minorEastAsia" w:cstheme="minorEastAsia"/>
          <w:color w:val="auto"/>
          <w:sz w:val="28"/>
          <w:szCs w:val="28"/>
          <w:u w:val="single"/>
          <w:lang w:eastAsia="zh-CN"/>
        </w:rPr>
        <w:t>招采部</w:t>
      </w:r>
    </w:p>
    <w:p>
      <w:pPr>
        <w:snapToGrid w:val="0"/>
        <w:spacing w:line="360" w:lineRule="auto"/>
        <w:ind w:firstLine="3920" w:firstLineChars="1400"/>
        <w:jc w:val="both"/>
        <w:rPr>
          <w:rFonts w:ascii="宋体" w:hAnsi="宋体" w:cs="宋体"/>
          <w:b/>
          <w:color w:val="auto"/>
          <w:sz w:val="30"/>
          <w:highlight w:val="none"/>
        </w:rPr>
      </w:pPr>
      <w:r>
        <w:rPr>
          <w:rFonts w:hint="eastAsia" w:asciiTheme="minorEastAsia" w:hAnsiTheme="minorEastAsia" w:eastAsiaTheme="minorEastAsia" w:cstheme="minorEastAsia"/>
          <w:bCs/>
          <w:color w:val="auto"/>
          <w:sz w:val="28"/>
          <w:szCs w:val="28"/>
          <w:highlight w:val="none"/>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auto"/>
          <w:sz w:val="28"/>
          <w:szCs w:val="28"/>
          <w:highlight w:val="none"/>
        </w:rPr>
        <w:br w:type="page"/>
      </w:r>
      <w:r>
        <w:rPr>
          <w:rFonts w:hint="eastAsia" w:ascii="宋体" w:hAnsi="宋体" w:cs="宋体"/>
          <w:b/>
          <w:color w:val="auto"/>
          <w:sz w:val="30"/>
          <w:highlight w:val="none"/>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auto"/>
                <w:szCs w:val="21"/>
                <w:highlight w:val="none"/>
              </w:rPr>
            </w:pPr>
            <w:r>
              <w:rPr>
                <w:rFonts w:hint="eastAsia" w:ascii="宋体" w:hAnsi="宋体" w:cs="宋体"/>
                <w:color w:val="auto"/>
                <w:szCs w:val="21"/>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方悦立交工程</w:t>
            </w:r>
          </w:p>
          <w:p>
            <w:pPr>
              <w:tabs>
                <w:tab w:val="right" w:pos="8674"/>
              </w:tabs>
              <w:snapToGrid w:val="0"/>
              <w:spacing w:line="360" w:lineRule="auto"/>
              <w:rPr>
                <w:rFonts w:ascii="宋体" w:hAnsi="宋体" w:cs="宋体"/>
                <w:color w:val="auto"/>
                <w:szCs w:val="21"/>
                <w:highlight w:val="none"/>
              </w:rPr>
            </w:pPr>
            <w:r>
              <w:rPr>
                <w:rFonts w:hint="eastAsia"/>
                <w:color w:val="auto"/>
                <w:kern w:val="0"/>
                <w:szCs w:val="21"/>
                <w:lang w:eastAsia="zh-CN"/>
              </w:rPr>
              <w:t>地点：</w:t>
            </w:r>
            <w:r>
              <w:rPr>
                <w:rFonts w:hint="eastAsia" w:ascii="Calibri" w:hAnsi="Calibri" w:eastAsia="宋体" w:cs="Times New Roman"/>
                <w:bCs w:val="0"/>
                <w:color w:val="auto"/>
                <w:kern w:val="0"/>
                <w:sz w:val="21"/>
                <w:szCs w:val="21"/>
                <w:highlight w:val="none"/>
                <w:u w:val="none"/>
              </w:rPr>
              <w:t>重庆两江新区水土高新技术产业园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招采材料</w:t>
            </w:r>
          </w:p>
          <w:p>
            <w:pPr>
              <w:snapToGrid w:val="0"/>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both"/>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名称：土石方运输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jc w:val="left"/>
              <w:rPr>
                <w:rFonts w:hint="eastAsia" w:asciiTheme="minorEastAsia" w:hAnsiTheme="minorEastAsia" w:eastAsiaTheme="minorEastAsia" w:cstheme="minorEastAsia"/>
                <w:bCs w:val="0"/>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Cs w:val="21"/>
              </w:rPr>
              <w:t>数量：</w:t>
            </w:r>
            <w:r>
              <w:rPr>
                <w:rFonts w:hint="eastAsia" w:asciiTheme="minorEastAsia" w:hAnsiTheme="minorEastAsia" w:eastAsiaTheme="minorEastAsia" w:cstheme="minorEastAsia"/>
                <w:bCs w:val="0"/>
                <w:color w:val="auto"/>
                <w:kern w:val="0"/>
                <w:sz w:val="21"/>
                <w:szCs w:val="21"/>
                <w:highlight w:val="none"/>
                <w:u w:val="none"/>
                <w:lang w:val="en-US" w:eastAsia="zh-CN"/>
              </w:rPr>
              <w:t>场内运输约2350车；场外运输约6200车(运输至悦复大道北延伸段指定的渣场)。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eastAsiaTheme="minorEastAsia"/>
                <w:color w:val="auto"/>
                <w:szCs w:val="21"/>
                <w:highlight w:val="none"/>
                <w:lang w:val="en-US" w:eastAsia="zh-CN"/>
              </w:rPr>
            </w:pPr>
            <w:r>
              <w:rPr>
                <w:rFonts w:hint="eastAsia" w:asciiTheme="minorEastAsia" w:hAnsiTheme="minorEastAsia" w:eastAsiaTheme="minorEastAsia" w:cstheme="minorEastAsia"/>
                <w:color w:val="auto"/>
                <w:kern w:val="0"/>
                <w:szCs w:val="21"/>
              </w:rPr>
              <w:t>时间：暂</w:t>
            </w:r>
            <w:r>
              <w:rPr>
                <w:rFonts w:hint="eastAsia" w:asciiTheme="minorEastAsia" w:hAnsiTheme="minorEastAsia" w:eastAsiaTheme="minorEastAsia" w:cstheme="minorEastAsia"/>
                <w:color w:val="auto"/>
                <w:kern w:val="0"/>
                <w:szCs w:val="21"/>
                <w:lang w:eastAsia="zh-CN"/>
              </w:rPr>
              <w:t>定</w:t>
            </w:r>
            <w:r>
              <w:rPr>
                <w:rFonts w:hint="eastAsia" w:asciiTheme="minorEastAsia" w:hAnsiTheme="minorEastAsia" w:eastAsiaTheme="minorEastAsia" w:cstheme="minorEastAsia"/>
                <w:color w:val="auto"/>
                <w:kern w:val="0"/>
                <w:szCs w:val="21"/>
                <w:lang w:val="en-US" w:eastAsia="zh-CN"/>
              </w:rPr>
              <w:t>350天</w:t>
            </w:r>
            <w:r>
              <w:rPr>
                <w:rFonts w:hint="eastAsia" w:asciiTheme="minorEastAsia" w:hAnsiTheme="minorEastAsia" w:eastAsiaTheme="minorEastAsia" w:cs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color w:val="auto"/>
                <w:lang w:eastAsia="zh-CN"/>
              </w:rPr>
            </w:pPr>
            <w:r>
              <w:rPr>
                <w:rFonts w:hint="eastAsia"/>
                <w:color w:val="auto"/>
                <w:lang w:eastAsia="zh-CN"/>
              </w:rPr>
              <w:t>供应商必须是重庆对外建设（集团）有限公司合格供方库内单位，且无失信记录。</w:t>
            </w:r>
          </w:p>
          <w:p>
            <w:pPr>
              <w:pStyle w:val="3"/>
              <w:spacing w:line="380" w:lineRule="exact"/>
              <w:rPr>
                <w:rFonts w:hint="eastAsia" w:ascii="Calibri" w:hAnsi="Calibri" w:eastAsia="宋体" w:cs="Times New Roman"/>
                <w:b w:val="0"/>
                <w:color w:val="auto"/>
                <w:kern w:val="2"/>
                <w:sz w:val="21"/>
                <w:szCs w:val="22"/>
                <w:lang w:val="en-US" w:eastAsia="zh-CN" w:bidi="ar-SA"/>
              </w:rPr>
            </w:pPr>
            <w:r>
              <w:rPr>
                <w:rFonts w:hint="eastAsia" w:ascii="Calibri" w:hAnsi="Calibri" w:eastAsia="宋体" w:cs="Times New Roman"/>
                <w:b w:val="0"/>
                <w:color w:val="auto"/>
                <w:kern w:val="2"/>
                <w:sz w:val="21"/>
                <w:szCs w:val="22"/>
                <w:lang w:val="en-US" w:eastAsia="zh-CN" w:bidi="ar-SA"/>
              </w:rPr>
              <w:t>2）营业执照经营范围包含普通货物运输及相关。</w:t>
            </w:r>
          </w:p>
          <w:p>
            <w:pPr>
              <w:pStyle w:val="3"/>
              <w:spacing w:line="380" w:lineRule="exact"/>
              <w:rPr>
                <w:color w:val="auto"/>
              </w:rPr>
            </w:pPr>
            <w:r>
              <w:rPr>
                <w:rFonts w:hint="eastAsia" w:ascii="Calibri" w:hAnsi="Calibri" w:eastAsia="宋体" w:cs="Times New Roman"/>
                <w:b w:val="0"/>
                <w:color w:val="auto"/>
                <w:kern w:val="2"/>
                <w:sz w:val="21"/>
                <w:szCs w:val="22"/>
                <w:lang w:val="en-US" w:eastAsia="zh-CN" w:bidi="ar-S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暂定</w:t>
            </w:r>
            <w:r>
              <w:rPr>
                <w:rFonts w:hint="eastAsia" w:ascii="宋体" w:hAnsi="宋体" w:cs="宋体"/>
                <w:i w:val="0"/>
                <w:color w:val="auto"/>
                <w:kern w:val="2"/>
                <w:sz w:val="21"/>
                <w:szCs w:val="21"/>
                <w:highlight w:val="none"/>
                <w:u w:val="none"/>
                <w:lang w:val="en-US" w:eastAsia="zh-CN" w:bidi="ar"/>
              </w:rPr>
              <w:t>1306800</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auto"/>
                <w:szCs w:val="21"/>
                <w:highlight w:val="none"/>
                <w:lang w:eastAsia="zh-CN"/>
              </w:rPr>
            </w:pPr>
            <w:r>
              <w:rPr>
                <w:rFonts w:hint="eastAsia" w:ascii="宋体" w:hAnsi="宋体" w:cs="宋体"/>
                <w:color w:val="auto"/>
                <w:szCs w:val="21"/>
              </w:rPr>
              <w:t>投标报价不得高于采购单位公布的最高限价且保留两位小数</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auto"/>
                <w:szCs w:val="21"/>
                <w:highlight w:val="none"/>
                <w:lang w:val="en-US" w:eastAsia="zh-CN"/>
              </w:rPr>
            </w:pPr>
            <w:r>
              <w:rPr>
                <w:rFonts w:hint="eastAsia" w:asciiTheme="minorEastAsia" w:hAnsiTheme="minorEastAsia" w:eastAsiaTheme="minorEastAsia" w:cstheme="minorEastAsia"/>
                <w:color w:val="auto"/>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auto"/>
                <w:szCs w:val="21"/>
                <w:highlight w:val="none"/>
              </w:rPr>
            </w:pPr>
            <w:r>
              <w:rPr>
                <w:rFonts w:hint="eastAsia" w:ascii="宋体" w:hAnsi="宋体" w:eastAsia="宋体" w:cs="宋体"/>
                <w:color w:val="auto"/>
                <w:kern w:val="2"/>
                <w:szCs w:val="21"/>
              </w:rPr>
              <w:t>暂</w:t>
            </w:r>
            <w:r>
              <w:rPr>
                <w:rFonts w:hint="eastAsia" w:ascii="宋体" w:hAnsi="宋体" w:eastAsia="宋体" w:cs="宋体"/>
                <w:color w:val="auto"/>
                <w:kern w:val="2"/>
                <w:szCs w:val="21"/>
                <w:lang w:eastAsia="zh-CN"/>
              </w:rPr>
              <w:t>定</w:t>
            </w:r>
            <w:r>
              <w:rPr>
                <w:rFonts w:hint="eastAsia" w:ascii="宋体" w:hAnsi="宋体" w:cs="宋体"/>
                <w:color w:val="auto"/>
                <w:kern w:val="2"/>
                <w:szCs w:val="21"/>
                <w:lang w:val="en-US" w:eastAsia="zh-CN"/>
              </w:rPr>
              <w:t>350天</w:t>
            </w:r>
            <w:r>
              <w:rPr>
                <w:rFonts w:hint="eastAsia" w:asciiTheme="minorEastAsia" w:hAnsiTheme="minorEastAsia" w:eastAsiaTheme="minorEastAsia" w:cs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360" w:lineRule="auto"/>
              <w:jc w:val="both"/>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1"/>
                <w:szCs w:val="21"/>
                <w:highlight w:val="none"/>
                <w:u w:val="none"/>
                <w:lang w:bidi="ar"/>
              </w:rPr>
              <w:t>甲乙双方于每月25日对账，乙方于次月25日前付清甲方上月</w:t>
            </w:r>
            <w:r>
              <w:rPr>
                <w:rFonts w:hint="eastAsia" w:asciiTheme="minorEastAsia" w:hAnsiTheme="minorEastAsia" w:eastAsiaTheme="minorEastAsia" w:cstheme="minorEastAsia"/>
                <w:color w:val="auto"/>
                <w:kern w:val="0"/>
                <w:sz w:val="21"/>
                <w:szCs w:val="21"/>
                <w:highlight w:val="none"/>
                <w:u w:val="none"/>
                <w:lang w:val="en-US" w:eastAsia="zh-CN" w:bidi="ar"/>
              </w:rPr>
              <w:t>运输</w:t>
            </w:r>
            <w:r>
              <w:rPr>
                <w:rFonts w:hint="eastAsia" w:asciiTheme="minorEastAsia" w:hAnsiTheme="minorEastAsia" w:eastAsiaTheme="minorEastAsia" w:cstheme="minorEastAsia"/>
                <w:color w:val="auto"/>
                <w:kern w:val="0"/>
                <w:sz w:val="21"/>
                <w:szCs w:val="21"/>
                <w:highlight w:val="none"/>
                <w:u w:val="none"/>
                <w:lang w:bidi="ar"/>
              </w:rPr>
              <w:t>款的</w:t>
            </w:r>
            <w:r>
              <w:rPr>
                <w:rFonts w:hint="eastAsia" w:asciiTheme="minorEastAsia" w:hAnsiTheme="minorEastAsia" w:eastAsiaTheme="minorEastAsia" w:cstheme="minorEastAsia"/>
                <w:color w:val="auto"/>
                <w:kern w:val="0"/>
                <w:sz w:val="21"/>
                <w:szCs w:val="21"/>
                <w:highlight w:val="none"/>
                <w:u w:val="none"/>
                <w:lang w:val="en-US" w:eastAsia="zh-CN" w:bidi="ar"/>
              </w:rPr>
              <w:t>7</w:t>
            </w:r>
            <w:r>
              <w:rPr>
                <w:rFonts w:hint="eastAsia" w:asciiTheme="minorEastAsia" w:hAnsiTheme="minorEastAsia" w:eastAsiaTheme="minorEastAsia" w:cstheme="minorEastAsia"/>
                <w:color w:val="auto"/>
                <w:kern w:val="0"/>
                <w:sz w:val="21"/>
                <w:szCs w:val="21"/>
                <w:highlight w:val="none"/>
                <w:u w:val="none"/>
                <w:lang w:bidi="ar"/>
              </w:rPr>
              <w:t>0%，</w:t>
            </w:r>
            <w:r>
              <w:rPr>
                <w:rFonts w:hint="eastAsia" w:asciiTheme="minorEastAsia" w:hAnsiTheme="minorEastAsia" w:eastAsiaTheme="minorEastAsia" w:cstheme="minorEastAsia"/>
                <w:color w:val="auto"/>
                <w:kern w:val="0"/>
                <w:sz w:val="21"/>
                <w:szCs w:val="21"/>
                <w:highlight w:val="none"/>
                <w:u w:val="none"/>
                <w:lang w:val="en-US" w:eastAsia="zh-CN" w:bidi="ar"/>
              </w:rPr>
              <w:t>运输</w:t>
            </w:r>
            <w:r>
              <w:rPr>
                <w:rFonts w:hint="eastAsia" w:asciiTheme="minorEastAsia" w:hAnsiTheme="minorEastAsia" w:eastAsiaTheme="minorEastAsia" w:cstheme="minorEastAsia"/>
                <w:color w:val="auto"/>
                <w:kern w:val="0"/>
                <w:sz w:val="21"/>
                <w:szCs w:val="21"/>
                <w:highlight w:val="none"/>
                <w:u w:val="none"/>
                <w:lang w:bidi="ar"/>
              </w:rPr>
              <w:t>结束结算后3个月</w:t>
            </w:r>
            <w:r>
              <w:rPr>
                <w:rFonts w:hint="eastAsia" w:asciiTheme="minorEastAsia" w:hAnsiTheme="minorEastAsia" w:eastAsiaTheme="minorEastAsia" w:cstheme="minorEastAsia"/>
                <w:color w:val="auto"/>
                <w:kern w:val="0"/>
                <w:sz w:val="21"/>
                <w:szCs w:val="21"/>
                <w:highlight w:val="none"/>
                <w:u w:val="none"/>
                <w:lang w:eastAsia="zh-CN" w:bidi="ar"/>
              </w:rPr>
              <w:t>内</w:t>
            </w:r>
            <w:r>
              <w:rPr>
                <w:rFonts w:hint="eastAsia" w:asciiTheme="minorEastAsia" w:hAnsiTheme="minorEastAsia" w:eastAsiaTheme="minorEastAsia" w:cstheme="minorEastAsia"/>
                <w:color w:val="auto"/>
                <w:kern w:val="0"/>
                <w:sz w:val="21"/>
                <w:szCs w:val="21"/>
                <w:highlight w:val="none"/>
                <w:u w:val="none"/>
                <w:lang w:bidi="ar"/>
              </w:rPr>
              <w:t>支付剩余</w:t>
            </w:r>
            <w:r>
              <w:rPr>
                <w:rFonts w:hint="eastAsia" w:asciiTheme="minorEastAsia" w:hAnsiTheme="minorEastAsia" w:eastAsiaTheme="minorEastAsia" w:cstheme="minorEastAsia"/>
                <w:color w:val="auto"/>
                <w:kern w:val="0"/>
                <w:sz w:val="21"/>
                <w:szCs w:val="21"/>
                <w:highlight w:val="none"/>
                <w:u w:val="none"/>
                <w:lang w:val="en-US" w:eastAsia="zh-CN" w:bidi="ar"/>
              </w:rPr>
              <w:t>尾</w:t>
            </w:r>
            <w:r>
              <w:rPr>
                <w:rFonts w:hint="eastAsia" w:asciiTheme="minorEastAsia" w:hAnsiTheme="minorEastAsia" w:eastAsiaTheme="minorEastAsia" w:cstheme="minorEastAsia"/>
                <w:color w:val="auto"/>
                <w:kern w:val="0"/>
                <w:sz w:val="21"/>
                <w:szCs w:val="21"/>
                <w:highlight w:val="none"/>
                <w:u w:val="none"/>
                <w:lang w:bidi="ar"/>
              </w:rPr>
              <w:t>款</w:t>
            </w:r>
            <w:r>
              <w:rPr>
                <w:rFonts w:hint="eastAsia" w:asciiTheme="minorEastAsia" w:hAnsiTheme="minorEastAsia" w:eastAsiaTheme="minorEastAsia" w:cstheme="minorEastAsia"/>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0"/>
              </w:numPr>
              <w:snapToGrid w:val="0"/>
              <w:spacing w:line="360" w:lineRule="auto"/>
              <w:jc w:val="both"/>
              <w:outlineLvl w:val="9"/>
              <w:rPr>
                <w:rFonts w:hint="eastAsia" w:asciiTheme="minorEastAsia" w:hAnsiTheme="minorEastAsia" w:eastAsiaTheme="minorEastAsia" w:cstheme="minorEastAsia"/>
                <w:color w:val="auto"/>
                <w:kern w:val="0"/>
                <w:szCs w:val="21"/>
                <w:u w:val="none"/>
                <w:lang w:eastAsia="zh-CN" w:bidi="ar"/>
              </w:rPr>
            </w:pPr>
            <w:r>
              <w:rPr>
                <w:rFonts w:hint="eastAsia" w:asciiTheme="minorEastAsia" w:hAnsiTheme="minorEastAsia" w:eastAsiaTheme="minorEastAsia" w:cstheme="minorEastAsia"/>
                <w:color w:val="auto"/>
                <w:kern w:val="0"/>
                <w:sz w:val="21"/>
                <w:szCs w:val="21"/>
                <w:highlight w:val="none"/>
                <w:u w:val="none"/>
                <w:lang w:eastAsia="zh-CN" w:bidi="ar"/>
              </w:rPr>
              <w:t>运输费按</w:t>
            </w:r>
            <w:r>
              <w:rPr>
                <w:rFonts w:hint="eastAsia" w:asciiTheme="minorEastAsia" w:hAnsiTheme="minorEastAsia" w:eastAsiaTheme="minorEastAsia" w:cstheme="minorEastAsia"/>
                <w:color w:val="auto"/>
                <w:kern w:val="0"/>
                <w:sz w:val="21"/>
                <w:szCs w:val="21"/>
                <w:highlight w:val="none"/>
                <w:u w:val="none"/>
                <w:lang w:val="en-US" w:eastAsia="zh-CN" w:bidi="ar"/>
              </w:rPr>
              <w:t>车结算。</w:t>
            </w:r>
            <w:r>
              <w:rPr>
                <w:rFonts w:hint="eastAsia" w:asciiTheme="minorEastAsia" w:hAnsiTheme="minorEastAsia" w:eastAsiaTheme="minorEastAsia" w:cstheme="minorEastAsia"/>
                <w:color w:val="auto"/>
                <w:kern w:val="0"/>
                <w:sz w:val="21"/>
                <w:szCs w:val="21"/>
                <w:highlight w:val="none"/>
                <w:u w:val="none"/>
                <w:lang w:bidi="ar"/>
              </w:rPr>
              <w:t>甲乙双方必须对当天的运输票据进行核对，并签字完善，以此作为结算依据。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auto"/>
                <w:szCs w:val="21"/>
                <w:highlight w:val="none"/>
              </w:rPr>
            </w:pPr>
            <w:r>
              <w:rPr>
                <w:rFonts w:hint="eastAsia" w:ascii="宋体" w:hAnsi="宋体" w:cs="宋体"/>
                <w:color w:val="auto"/>
                <w:szCs w:val="21"/>
              </w:rPr>
              <w:t>投标人自行踏勘</w:t>
            </w:r>
            <w:r>
              <w:rPr>
                <w:rFonts w:hint="eastAsia" w:ascii="宋体" w:hAnsi="宋体" w:cs="宋体"/>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auto"/>
                <w:szCs w:val="21"/>
                <w:highlight w:val="none"/>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15</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 xml:space="preserve">2021 </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16</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auto"/>
                <w:szCs w:val="21"/>
                <w:highlight w:val="none"/>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auto"/>
                <w:szCs w:val="21"/>
                <w:highlight w:val="none"/>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提交时间: </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17 </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17     </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17</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auto"/>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见投标人须知及附表</w:t>
            </w:r>
          </w:p>
        </w:tc>
      </w:tr>
    </w:tbl>
    <w:p>
      <w:pPr>
        <w:snapToGrid w:val="0"/>
        <w:jc w:val="left"/>
        <w:rPr>
          <w:rFonts w:ascii="宋体" w:hAnsi="宋体" w:cs="宋体"/>
          <w:b/>
          <w:color w:val="auto"/>
          <w:sz w:val="30"/>
          <w:highlight w:val="none"/>
        </w:rPr>
      </w:pPr>
      <w:r>
        <w:rPr>
          <w:rFonts w:ascii="宋体" w:hAnsi="宋体" w:cs="宋体"/>
          <w:b/>
          <w:color w:val="auto"/>
          <w:sz w:val="30"/>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符</w:t>
            </w:r>
          </w:p>
          <w:p>
            <w:pPr>
              <w:rPr>
                <w:rFonts w:ascii="宋体" w:hAnsi="宋体" w:cs="宋体"/>
                <w:color w:val="auto"/>
                <w:highlight w:val="none"/>
              </w:rPr>
            </w:pPr>
            <w:r>
              <w:rPr>
                <w:rFonts w:hint="eastAsia" w:ascii="宋体" w:hAnsi="宋体" w:cs="宋体"/>
                <w:color w:val="auto"/>
                <w:highlight w:val="none"/>
              </w:rPr>
              <w:t>合</w:t>
            </w:r>
          </w:p>
          <w:p>
            <w:pPr>
              <w:rPr>
                <w:rFonts w:ascii="宋体" w:hAnsi="宋体" w:cs="宋体"/>
                <w:color w:val="auto"/>
                <w:highlight w:val="none"/>
              </w:rPr>
            </w:pPr>
            <w:r>
              <w:rPr>
                <w:rFonts w:hint="eastAsia" w:ascii="宋体" w:hAnsi="宋体" w:cs="宋体"/>
                <w:color w:val="auto"/>
                <w:highlight w:val="none"/>
              </w:rPr>
              <w:t>性</w:t>
            </w:r>
          </w:p>
          <w:p>
            <w:pPr>
              <w:rPr>
                <w:rFonts w:ascii="宋体" w:hAnsi="宋体" w:cs="宋体"/>
                <w:color w:val="auto"/>
                <w:highlight w:val="none"/>
              </w:rPr>
            </w:pPr>
            <w:r>
              <w:rPr>
                <w:rFonts w:hint="eastAsia" w:ascii="宋体" w:hAnsi="宋体" w:cs="宋体"/>
                <w:color w:val="auto"/>
                <w:highlight w:val="none"/>
              </w:rPr>
              <w:t>评</w:t>
            </w:r>
          </w:p>
          <w:p>
            <w:pPr>
              <w:rPr>
                <w:rFonts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highlight w:val="none"/>
              </w:rPr>
            </w:pPr>
            <w:r>
              <w:rPr>
                <w:rFonts w:hint="eastAsia" w:ascii="宋体" w:hAnsi="宋体" w:cs="宋体"/>
                <w:color w:val="auto"/>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highlight w:val="none"/>
              </w:rPr>
            </w:pPr>
            <w:r>
              <w:rPr>
                <w:rFonts w:hint="eastAsia" w:ascii="宋体" w:hAnsi="宋体" w:cs="宋体"/>
                <w:color w:val="auto"/>
              </w:rPr>
              <w:t>投标人必须是在中华人民共和国境内具有独立承担民事责任能力的企业，且营业执照经营范围包含</w:t>
            </w:r>
            <w:r>
              <w:rPr>
                <w:rFonts w:hint="eastAsia" w:ascii="宋体" w:hAnsi="宋体" w:cs="宋体"/>
                <w:color w:val="auto"/>
                <w:lang w:val="en-US" w:eastAsia="zh-CN"/>
              </w:rPr>
              <w:t>普通货物运输及相关</w:t>
            </w:r>
            <w:r>
              <w:rPr>
                <w:rFonts w:hint="eastAsia" w:ascii="宋体" w:hAnsi="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w:t>
            </w:r>
          </w:p>
          <w:p>
            <w:pPr>
              <w:jc w:val="center"/>
              <w:rPr>
                <w:rFonts w:ascii="宋体" w:cs="宋体"/>
                <w:color w:val="auto"/>
                <w:highlight w:val="none"/>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rPr>
              <w:t>符合第</w:t>
            </w:r>
            <w:r>
              <w:rPr>
                <w:rFonts w:hint="eastAsia" w:ascii="宋体" w:hAnsi="宋体" w:cs="宋体"/>
                <w:color w:val="auto"/>
                <w:lang w:eastAsia="zh-CN"/>
              </w:rPr>
              <w:t>六</w:t>
            </w:r>
            <w:r>
              <w:rPr>
                <w:rFonts w:hint="eastAsia" w:ascii="宋体" w:hAnsi="宋体" w:cs="宋体"/>
                <w:color w:val="auto"/>
              </w:rPr>
              <w:t>部分“投标文件格式”中“</w:t>
            </w:r>
            <w:r>
              <w:rPr>
                <w:rFonts w:hint="eastAsia" w:ascii="宋体" w:hAnsi="宋体" w:cs="宋体"/>
                <w:color w:val="auto"/>
                <w:lang w:eastAsia="zh-CN"/>
              </w:rPr>
              <w:t>四</w:t>
            </w:r>
            <w:r>
              <w:rPr>
                <w:rFonts w:hint="eastAsia" w:ascii="宋体" w:hAnsi="宋体" w:cs="宋体"/>
                <w:color w:val="auto"/>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rPr>
              <w:t>符合第二部分“投标人须知前附表”第</w:t>
            </w:r>
            <w:r>
              <w:rPr>
                <w:rFonts w:hint="eastAsia" w:ascii="宋体" w:hAnsi="宋体" w:cs="宋体"/>
                <w:color w:val="auto"/>
                <w:lang w:val="en-US" w:eastAsia="zh-CN"/>
              </w:rPr>
              <w:t>8</w:t>
            </w:r>
            <w:r>
              <w:rPr>
                <w:rFonts w:hint="eastAsia" w:ascii="宋体" w:hAnsi="宋体" w:cs="宋体"/>
                <w:color w:val="auto"/>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r>
              <w:rPr>
                <w:rFonts w:hint="eastAsia" w:cs="宋体"/>
                <w:color w:val="auto"/>
                <w:highlight w:val="none"/>
              </w:rPr>
              <w:t>报价</w:t>
            </w:r>
          </w:p>
          <w:p>
            <w:pPr>
              <w:rPr>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r>
              <w:rPr>
                <w:rFonts w:hint="eastAsia" w:cs="宋体"/>
                <w:color w:val="auto"/>
                <w:highlight w:val="none"/>
              </w:rPr>
              <w:t>评审</w:t>
            </w:r>
          </w:p>
          <w:p>
            <w:pPr>
              <w:rPr>
                <w:rFonts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0" w:name="_Toc123786822"/>
      <w:bookmarkStart w:id="1" w:name="_Toc42923333"/>
      <w:bookmarkStart w:id="2" w:name="_Toc71877701"/>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w:t>
      </w:r>
      <w:r>
        <w:rPr>
          <w:rFonts w:hint="eastAsia" w:ascii="Times New Roman" w:hAnsi="Times New Roman" w:cs="Times New Roman"/>
          <w:color w:val="auto"/>
          <w:sz w:val="28"/>
          <w:szCs w:val="28"/>
          <w:highlight w:val="none"/>
          <w:lang w:eastAsia="zh-CN"/>
        </w:rPr>
        <w:t>风控（合规）部、法律事务部、分公司（项目部）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0"/>
          <w:numId w:val="3"/>
        </w:numPr>
        <w:spacing w:line="560" w:lineRule="exact"/>
        <w:ind w:left="2520"/>
        <w:rPr>
          <w:rFonts w:hint="eastAsia"/>
          <w:b/>
          <w:bCs/>
          <w:color w:val="auto"/>
          <w:sz w:val="32"/>
          <w:szCs w:val="32"/>
        </w:rPr>
      </w:pPr>
      <w:bookmarkStart w:id="5" w:name="_Hlt42923257"/>
      <w:bookmarkEnd w:id="5"/>
      <w:bookmarkStart w:id="6" w:name="_Hlt42935964"/>
      <w:bookmarkEnd w:id="6"/>
      <w:r>
        <w:rPr>
          <w:rFonts w:ascii="宋体" w:hAnsi="宋体" w:cs="宋体"/>
          <w:bCs/>
          <w:color w:val="auto"/>
          <w:sz w:val="28"/>
          <w:szCs w:val="28"/>
          <w:highlight w:val="none"/>
        </w:rPr>
        <w:br w:type="page"/>
      </w:r>
      <w:r>
        <w:rPr>
          <w:rFonts w:hint="eastAsia"/>
          <w:b/>
          <w:bCs/>
          <w:color w:val="auto"/>
          <w:sz w:val="32"/>
          <w:szCs w:val="32"/>
        </w:rPr>
        <w:t xml:space="preserve"> 合同范本  </w:t>
      </w:r>
    </w:p>
    <w:p>
      <w:pPr>
        <w:tabs>
          <w:tab w:val="left" w:pos="670"/>
          <w:tab w:val="center" w:pos="4252"/>
        </w:tabs>
        <w:rPr>
          <w:rFonts w:ascii="仿宋_GB2312" w:hAnsi="宋体" w:eastAsia="仿宋_GB2312"/>
          <w:color w:val="auto"/>
          <w:sz w:val="36"/>
          <w:szCs w:val="36"/>
        </w:rPr>
      </w:pPr>
      <w:r>
        <w:rPr>
          <w:rFonts w:hint="eastAsia" w:ascii="仿宋_GB2312" w:hAnsi="宋体" w:eastAsia="仿宋_GB2312"/>
          <w:color w:val="auto"/>
          <w:sz w:val="36"/>
          <w:szCs w:val="36"/>
        </w:rPr>
        <w:t>重庆对外建设（集团）有限公司</w:t>
      </w:r>
    </w:p>
    <w:p>
      <w:pPr>
        <w:tabs>
          <w:tab w:val="left" w:pos="670"/>
          <w:tab w:val="center" w:pos="4252"/>
        </w:tabs>
        <w:rPr>
          <w:rFonts w:ascii="仿宋_GB2312" w:hAnsi="宋体" w:eastAsia="仿宋_GB2312"/>
          <w:color w:val="auto"/>
          <w:sz w:val="36"/>
          <w:szCs w:val="36"/>
        </w:rPr>
      </w:pPr>
      <w:r>
        <w:rPr>
          <w:rFonts w:hint="eastAsia" w:ascii="仿宋_GB2312" w:hAnsi="宋体" w:eastAsia="仿宋_GB2312"/>
          <w:bCs/>
          <w:color w:val="auto"/>
          <w:sz w:val="36"/>
          <w:szCs w:val="36"/>
        </w:rPr>
        <w:t>________项目</w:t>
      </w:r>
    </w:p>
    <w:p>
      <w:pPr>
        <w:tabs>
          <w:tab w:val="left" w:pos="670"/>
          <w:tab w:val="center" w:pos="4252"/>
        </w:tabs>
        <w:rPr>
          <w:rFonts w:hint="eastAsia" w:ascii="仿宋_GB2312" w:hAnsi="宋体" w:eastAsia="仿宋_GB2312"/>
          <w:color w:val="auto"/>
          <w:sz w:val="36"/>
          <w:szCs w:val="36"/>
        </w:rPr>
      </w:pPr>
      <w:r>
        <w:rPr>
          <w:rFonts w:hint="eastAsia" w:ascii="仿宋_GB2312" w:hAnsi="宋体" w:eastAsia="仿宋_GB2312"/>
          <w:color w:val="auto"/>
          <w:sz w:val="36"/>
          <w:szCs w:val="36"/>
        </w:rPr>
        <w:t>_____</w:t>
      </w:r>
    </w:p>
    <w:p>
      <w:pPr>
        <w:tabs>
          <w:tab w:val="left" w:pos="670"/>
          <w:tab w:val="center" w:pos="4252"/>
        </w:tabs>
        <w:jc w:val="center"/>
        <w:rPr>
          <w:rFonts w:ascii="黑体" w:eastAsia="黑体"/>
          <w:color w:val="auto"/>
          <w:sz w:val="110"/>
          <w:szCs w:val="110"/>
        </w:rPr>
      </w:pPr>
      <w:r>
        <w:rPr>
          <w:rFonts w:hint="eastAsia" w:ascii="黑体" w:hAnsi="宋体" w:eastAsia="黑体"/>
          <w:color w:val="auto"/>
          <w:sz w:val="110"/>
          <w:szCs w:val="110"/>
          <w:lang w:eastAsia="zh-CN"/>
        </w:rPr>
        <w:t>运输</w:t>
      </w:r>
      <w:r>
        <w:rPr>
          <w:rFonts w:hint="eastAsia" w:ascii="黑体" w:eastAsia="黑体"/>
          <w:color w:val="auto"/>
          <w:sz w:val="110"/>
          <w:szCs w:val="110"/>
        </w:rPr>
        <w:t>合同</w:t>
      </w: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w:t>
      </w:r>
      <w:r>
        <w:rPr>
          <w:rFonts w:hint="eastAsia" w:ascii="Times New Roman" w:hAnsi="Times New Roman" w:eastAsia="仿宋_GB2312"/>
          <w:color w:val="auto"/>
          <w:sz w:val="32"/>
          <w:szCs w:val="32"/>
        </w:rPr>
        <w:t>乙方：</w:t>
      </w:r>
      <w:r>
        <w:rPr>
          <w:rFonts w:hint="eastAsia" w:ascii="Times New Roman" w:hAnsi="Times New Roman" w:eastAsia="仿宋_GB2312"/>
          <w:color w:val="auto"/>
          <w:w w:val="85"/>
          <w:sz w:val="28"/>
          <w:szCs w:val="28"/>
          <w:u w:val="single"/>
        </w:rPr>
        <w:t>重庆对外建设(集团)有限公司</w:t>
      </w:r>
      <w:r>
        <w:rPr>
          <w:rFonts w:hint="eastAsia" w:ascii="Times New Roman" w:hAnsi="Times New Roman" w:eastAsia="仿宋_GB2312"/>
          <w:color w:val="auto"/>
          <w:sz w:val="28"/>
          <w:szCs w:val="28"/>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headerReference r:id="rId3" w:type="default"/>
          <w:footerReference r:id="rId4"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________</w:t>
      </w:r>
      <w:r>
        <w:rPr>
          <w:rFonts w:hint="eastAsia" w:eastAsia="黑体" w:cs="Times New Roman"/>
          <w:color w:val="auto"/>
          <w:sz w:val="36"/>
          <w:szCs w:val="28"/>
          <w:u w:val="single"/>
          <w:lang w:eastAsia="zh-CN"/>
        </w:rPr>
        <w:t>（填：项目名称）</w:t>
      </w:r>
      <w:r>
        <w:rPr>
          <w:rFonts w:hint="eastAsia" w:ascii="黑体" w:hAnsi="宋体" w:eastAsia="黑体"/>
          <w:color w:val="auto"/>
          <w:sz w:val="36"/>
          <w:szCs w:val="36"/>
        </w:rPr>
        <w:t>工程项目</w:t>
      </w:r>
      <w:r>
        <w:rPr>
          <w:rFonts w:hint="eastAsia" w:ascii="黑体" w:hAnsi="宋体" w:eastAsia="黑体"/>
          <w:color w:val="auto"/>
          <w:sz w:val="36"/>
          <w:szCs w:val="36"/>
          <w:lang w:eastAsia="zh-CN"/>
        </w:rPr>
        <w:t>运输</w:t>
      </w:r>
      <w:r>
        <w:rPr>
          <w:rFonts w:hint="eastAsia" w:ascii="黑体" w:hAnsi="宋体" w:eastAsia="黑体"/>
          <w:color w:val="auto"/>
          <w:sz w:val="36"/>
          <w:szCs w:val="36"/>
        </w:rPr>
        <w:t>合同</w:t>
      </w:r>
    </w:p>
    <w:p>
      <w:pPr>
        <w:widowControl/>
        <w:spacing w:before="90" w:after="90" w:line="345" w:lineRule="atLeast"/>
        <w:jc w:val="left"/>
        <w:rPr>
          <w:rFonts w:ascii="Arial Narrow" w:hAnsi="Arial Narrow" w:cs="宋体"/>
          <w:color w:val="auto"/>
          <w:kern w:val="0"/>
          <w:szCs w:val="21"/>
        </w:rPr>
      </w:pPr>
    </w:p>
    <w:p>
      <w:pPr>
        <w:spacing w:line="440" w:lineRule="exact"/>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甲方：</w:t>
      </w:r>
      <w:r>
        <w:rPr>
          <w:rFonts w:hint="eastAsia" w:ascii="Times New Roman" w:hAnsi="Times New Roman" w:eastAsia="仿宋_GB2312"/>
          <w:b/>
          <w:color w:val="auto"/>
          <w:sz w:val="28"/>
          <w:szCs w:val="28"/>
          <w:u w:val="single"/>
        </w:rPr>
        <w:t xml:space="preserve">                             </w:t>
      </w:r>
      <w:r>
        <w:rPr>
          <w:rFonts w:ascii="Times New Roman" w:hAnsi="Times New Roman" w:eastAsia="仿宋_GB2312"/>
          <w:b/>
          <w:color w:val="auto"/>
          <w:sz w:val="28"/>
          <w:szCs w:val="28"/>
          <w:u w:val="single"/>
        </w:rPr>
        <w:t xml:space="preserve">    </w:t>
      </w:r>
      <w:r>
        <w:rPr>
          <w:rFonts w:hint="eastAsia" w:ascii="Times New Roman" w:hAnsi="Times New Roman" w:eastAsia="仿宋_GB2312"/>
          <w:b/>
          <w:color w:val="auto"/>
          <w:sz w:val="28"/>
          <w:szCs w:val="28"/>
          <w:u w:val="single"/>
        </w:rPr>
        <w:t xml:space="preserve">  </w:t>
      </w:r>
      <w:r>
        <w:rPr>
          <w:rFonts w:hint="eastAsia" w:ascii="Times New Roman" w:hAnsi="Times New Roman" w:eastAsia="仿宋_GB2312"/>
          <w:b/>
          <w:color w:val="auto"/>
          <w:sz w:val="28"/>
          <w:szCs w:val="28"/>
        </w:rPr>
        <w:t>（出租方）</w:t>
      </w:r>
    </w:p>
    <w:p>
      <w:pPr>
        <w:spacing w:line="440" w:lineRule="exact"/>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乙方：</w:t>
      </w:r>
      <w:r>
        <w:rPr>
          <w:rFonts w:hint="eastAsia" w:ascii="Times New Roman" w:hAnsi="Times New Roman" w:eastAsia="仿宋_GB2312"/>
          <w:b/>
          <w:color w:val="auto"/>
          <w:sz w:val="28"/>
          <w:szCs w:val="28"/>
          <w:u w:val="single"/>
        </w:rPr>
        <w:t xml:space="preserve"> 重庆对外建设（集团）有限公司  </w:t>
      </w:r>
      <w:r>
        <w:rPr>
          <w:rFonts w:hint="eastAsia" w:ascii="Times New Roman" w:hAnsi="Times New Roman" w:eastAsia="仿宋_GB2312"/>
          <w:b/>
          <w:color w:val="auto"/>
          <w:sz w:val="28"/>
          <w:szCs w:val="28"/>
        </w:rPr>
        <w:t>（承租方）</w:t>
      </w:r>
    </w:p>
    <w:p>
      <w:pPr>
        <w:widowControl/>
        <w:spacing w:line="440" w:lineRule="exact"/>
        <w:jc w:val="left"/>
        <w:rPr>
          <w:rFonts w:ascii="Times New Roman" w:hAnsi="Times New Roman" w:eastAsia="仿宋_GB2312"/>
          <w:color w:val="auto"/>
          <w:sz w:val="28"/>
          <w:szCs w:val="28"/>
        </w:rPr>
      </w:pPr>
    </w:p>
    <w:p>
      <w:pPr>
        <w:spacing w:line="440" w:lineRule="exact"/>
        <w:ind w:firstLine="630" w:firstLineChars="225"/>
        <w:rPr>
          <w:rFonts w:ascii="Times New Roman" w:hAnsi="Times New Roman" w:eastAsia="仿宋_GB2312"/>
          <w:color w:val="auto"/>
          <w:sz w:val="28"/>
          <w:szCs w:val="28"/>
        </w:rPr>
      </w:pPr>
      <w:r>
        <w:rPr>
          <w:rFonts w:hint="eastAsia" w:ascii="Times New Roman" w:hAnsi="Times New Roman" w:eastAsia="仿宋_GB2312"/>
          <w:color w:val="auto"/>
          <w:sz w:val="28"/>
          <w:szCs w:val="28"/>
        </w:rPr>
        <w:t>根据《中华人民共和国合同法》的有关规定，按照平等互利的原则，为明确甲、乙双方的权利义务，经双方协商一致，特签订本合同。</w:t>
      </w:r>
    </w:p>
    <w:p>
      <w:pPr>
        <w:widowControl/>
        <w:numPr>
          <w:ilvl w:val="0"/>
          <w:numId w:val="4"/>
        </w:numPr>
        <w:spacing w:line="440" w:lineRule="exact"/>
        <w:jc w:val="left"/>
        <w:rPr>
          <w:rFonts w:ascii="Times New Roman" w:hAnsi="Times New Roman" w:eastAsia="仿宋_GB2312"/>
          <w:color w:val="auto"/>
          <w:sz w:val="28"/>
          <w:szCs w:val="28"/>
        </w:rPr>
      </w:pPr>
      <w:r>
        <w:rPr>
          <w:rFonts w:hint="eastAsia" w:ascii="Times New Roman" w:hAnsi="Times New Roman" w:eastAsia="仿宋_GB2312"/>
          <w:color w:val="auto"/>
          <w:sz w:val="28"/>
          <w:szCs w:val="28"/>
          <w:lang w:eastAsia="zh-CN"/>
        </w:rPr>
        <w:t>运输清单与合同金额</w:t>
      </w:r>
    </w:p>
    <w:p>
      <w:pPr>
        <w:spacing w:line="440" w:lineRule="exact"/>
        <w:ind w:firstLine="630" w:firstLineChars="225"/>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1.1.</w:t>
      </w:r>
      <w:r>
        <w:rPr>
          <w:rFonts w:hint="eastAsia" w:ascii="Times New Roman" w:hAnsi="Times New Roman" w:eastAsia="仿宋_GB2312"/>
          <w:b/>
          <w:color w:val="auto"/>
          <w:sz w:val="28"/>
          <w:szCs w:val="28"/>
          <w:lang w:eastAsia="zh-CN"/>
        </w:rPr>
        <w:t>合同附件</w:t>
      </w:r>
      <w:r>
        <w:rPr>
          <w:rFonts w:hint="eastAsia" w:ascii="Times New Roman" w:hAnsi="Times New Roman" w:eastAsia="仿宋_GB2312"/>
          <w:b/>
          <w:color w:val="auto"/>
          <w:sz w:val="28"/>
          <w:szCs w:val="28"/>
          <w:lang w:val="en-US" w:eastAsia="zh-CN"/>
        </w:rPr>
        <w:t>1.合同清单</w:t>
      </w:r>
      <w:r>
        <w:rPr>
          <w:rFonts w:hint="eastAsia" w:ascii="Times New Roman" w:hAnsi="Times New Roman" w:eastAsia="仿宋_GB2312"/>
          <w:color w:val="auto"/>
          <w:sz w:val="28"/>
          <w:szCs w:val="28"/>
          <w:lang w:val="en-US" w:eastAsia="zh-CN"/>
        </w:rPr>
        <w:t>所列</w:t>
      </w:r>
      <w:r>
        <w:rPr>
          <w:rFonts w:hint="eastAsia" w:ascii="Times New Roman" w:hAnsi="Times New Roman" w:eastAsia="仿宋_GB2312"/>
          <w:color w:val="auto"/>
          <w:sz w:val="28"/>
          <w:szCs w:val="28"/>
          <w:lang w:eastAsia="zh-CN"/>
        </w:rPr>
        <w:t>运输</w:t>
      </w:r>
      <w:r>
        <w:rPr>
          <w:rFonts w:hint="eastAsia" w:ascii="Times New Roman" w:hAnsi="Times New Roman" w:eastAsia="仿宋_GB2312"/>
          <w:color w:val="auto"/>
          <w:sz w:val="28"/>
          <w:szCs w:val="28"/>
        </w:rPr>
        <w:t>数量为暂定，具体需求的</w:t>
      </w:r>
      <w:r>
        <w:rPr>
          <w:rFonts w:hint="eastAsia" w:ascii="Times New Roman" w:hAnsi="Times New Roman" w:eastAsia="仿宋_GB2312"/>
          <w:color w:val="auto"/>
          <w:sz w:val="28"/>
          <w:szCs w:val="28"/>
          <w:lang w:eastAsia="zh-CN"/>
        </w:rPr>
        <w:t>运输设备</w:t>
      </w:r>
      <w:r>
        <w:rPr>
          <w:rFonts w:hint="eastAsia" w:ascii="Times New Roman" w:hAnsi="Times New Roman" w:eastAsia="仿宋_GB2312"/>
          <w:color w:val="auto"/>
          <w:sz w:val="28"/>
          <w:szCs w:val="28"/>
        </w:rPr>
        <w:t>数量由乙方随工程进度及时提交甲方，实际</w:t>
      </w:r>
      <w:r>
        <w:rPr>
          <w:rFonts w:hint="eastAsia" w:ascii="Times New Roman" w:hAnsi="Times New Roman" w:eastAsia="仿宋_GB2312"/>
          <w:color w:val="auto"/>
          <w:sz w:val="28"/>
          <w:szCs w:val="28"/>
          <w:lang w:eastAsia="zh-CN"/>
        </w:rPr>
        <w:t>运输</w:t>
      </w:r>
      <w:r>
        <w:rPr>
          <w:rFonts w:hint="eastAsia" w:ascii="Times New Roman" w:hAnsi="Times New Roman" w:eastAsia="仿宋_GB2312"/>
          <w:color w:val="auto"/>
          <w:sz w:val="28"/>
          <w:szCs w:val="28"/>
        </w:rPr>
        <w:t>以乙方需求为准，双方按实际</w:t>
      </w:r>
      <w:r>
        <w:rPr>
          <w:rFonts w:hint="eastAsia" w:ascii="Times New Roman" w:hAnsi="Times New Roman" w:eastAsia="仿宋_GB2312"/>
          <w:color w:val="auto"/>
          <w:sz w:val="28"/>
          <w:szCs w:val="28"/>
          <w:lang w:eastAsia="zh-CN"/>
        </w:rPr>
        <w:t>运输</w:t>
      </w:r>
      <w:r>
        <w:rPr>
          <w:rFonts w:hint="eastAsia" w:ascii="Times New Roman" w:hAnsi="Times New Roman" w:eastAsia="仿宋_GB2312"/>
          <w:color w:val="auto"/>
          <w:sz w:val="28"/>
          <w:szCs w:val="28"/>
        </w:rPr>
        <w:t>数量进行结算。</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 w:cs="Times New Roman"/>
          <w:color w:val="auto"/>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1.2.</w:t>
      </w:r>
      <w:r>
        <w:rPr>
          <w:rFonts w:hint="eastAsia" w:ascii="Times New Roman" w:hAnsi="Times New Roman" w:eastAsia="仿宋_GB2312" w:cs="Times New Roman"/>
          <w:color w:val="auto"/>
          <w:sz w:val="28"/>
          <w:szCs w:val="28"/>
        </w:rPr>
        <w:t>使用地点：</w:t>
      </w:r>
      <w:r>
        <w:rPr>
          <w:rFonts w:hint="eastAsia"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auto"/>
          <w:kern w:val="0"/>
          <w:sz w:val="28"/>
          <w:szCs w:val="28"/>
          <w:u w:val="single"/>
        </w:rPr>
      </w:pPr>
      <w:r>
        <w:rPr>
          <w:rFonts w:hint="eastAsia" w:ascii="Times New Roman" w:hAnsi="Times New Roman" w:eastAsia="仿宋_GB2312" w:cs="Times New Roman"/>
          <w:color w:val="auto"/>
          <w:kern w:val="0"/>
          <w:sz w:val="28"/>
          <w:szCs w:val="28"/>
          <w:lang w:val="en-US" w:eastAsia="zh-CN"/>
        </w:rPr>
        <w:t>1.3.</w:t>
      </w:r>
      <w:r>
        <w:rPr>
          <w:rFonts w:hint="eastAsia" w:ascii="Times New Roman" w:hAnsi="Times New Roman" w:eastAsia="仿宋_GB2312" w:cs="Times New Roman"/>
          <w:color w:val="auto"/>
          <w:kern w:val="0"/>
          <w:sz w:val="28"/>
          <w:szCs w:val="28"/>
        </w:rPr>
        <w:t>其他：</w:t>
      </w:r>
      <w:r>
        <w:rPr>
          <w:rFonts w:hint="eastAsia" w:ascii="Times New Roman" w:hAnsi="Times New Roman" w:eastAsia="仿宋_GB2312" w:cs="Times New Roman"/>
          <w:color w:val="auto"/>
          <w:kern w:val="0"/>
          <w:sz w:val="28"/>
          <w:szCs w:val="28"/>
          <w:u w:val="single"/>
        </w:rPr>
        <w:t>__________________________________________________________</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甲方为</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机械配备操作手____名，人员安全由甲方自行负责。</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机械的操作手每人工资____元/月由___方负责承担，由___方负责安排操作手的食宿，其食宿费用也由___方负责承担。</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期限</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甲方提前一天通知乙方，乙方必须满足现场运输使用要求。</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机械的所有权</w:t>
      </w:r>
    </w:p>
    <w:p>
      <w:pPr>
        <w:spacing w:line="440" w:lineRule="exact"/>
        <w:ind w:firstLine="630" w:firstLineChars="225"/>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4.1</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期间，本合同第一条所列</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机械的所有权属于甲方。乙方对</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机械只有使用权，没有所有权。</w:t>
      </w:r>
    </w:p>
    <w:p>
      <w:pPr>
        <w:spacing w:line="440" w:lineRule="exact"/>
        <w:ind w:firstLine="630" w:firstLineChars="225"/>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4.2</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期间，乙方如将</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机械转租给第三人，必须征得甲方书面同意。</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运输款</w:t>
      </w:r>
      <w:r>
        <w:rPr>
          <w:rFonts w:hint="eastAsia" w:ascii="Times New Roman" w:hAnsi="Times New Roman" w:eastAsia="仿宋_GB2312" w:cs="Times New Roman"/>
          <w:color w:val="auto"/>
          <w:sz w:val="28"/>
          <w:szCs w:val="28"/>
        </w:rPr>
        <w:t>的计算和支付</w:t>
      </w:r>
    </w:p>
    <w:p>
      <w:pPr>
        <w:spacing w:line="440" w:lineRule="exact"/>
        <w:ind w:firstLine="630" w:firstLineChars="225"/>
        <w:rPr>
          <w:rFonts w:hint="eastAsia"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rPr>
        <w:t>5.</w:t>
      </w: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eastAsia="zh-CN"/>
        </w:rPr>
        <w:t>运输费按</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val="en-US" w:eastAsia="zh-CN"/>
        </w:rPr>
        <w:t>结算。</w:t>
      </w:r>
      <w:r>
        <w:rPr>
          <w:rFonts w:hint="eastAsia" w:ascii="Times New Roman" w:hAnsi="Times New Roman" w:eastAsia="仿宋_GB2312" w:cs="Times New Roman"/>
          <w:color w:val="auto"/>
          <w:sz w:val="28"/>
          <w:szCs w:val="28"/>
        </w:rPr>
        <w:t>甲乙双方必须对当天的运输票据进行核对，并签字完善，以此作为结算依据。</w:t>
      </w:r>
    </w:p>
    <w:p>
      <w:pPr>
        <w:spacing w:line="440" w:lineRule="exact"/>
        <w:ind w:firstLine="630" w:firstLineChars="225"/>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5.2</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款的结算：______________________________________。</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w:t>
      </w:r>
      <w:r>
        <w:rPr>
          <w:rFonts w:hint="eastAsia" w:ascii="Times New Roman" w:hAnsi="Times New Roman" w:eastAsia="仿宋_GB2312" w:cs="Times New Roman"/>
          <w:color w:val="auto"/>
          <w:kern w:val="0"/>
          <w:sz w:val="28"/>
          <w:szCs w:val="28"/>
          <w:lang w:val="en-US" w:eastAsia="zh-CN"/>
        </w:rPr>
        <w:t>3</w:t>
      </w:r>
      <w:r>
        <w:rPr>
          <w:rFonts w:hint="eastAsia" w:ascii="Times New Roman" w:hAnsi="Times New Roman" w:eastAsia="仿宋_GB2312" w:cs="Times New Roman"/>
          <w:color w:val="auto"/>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单位地址：重庆市南岸区南滨路132号</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电话号码：</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w:t>
      </w:r>
      <w:r>
        <w:rPr>
          <w:rFonts w:hint="eastAsia" w:ascii="Times New Roman" w:hAnsi="Times New Roman" w:eastAsia="仿宋_GB2312" w:cs="Times New Roman"/>
          <w:color w:val="auto"/>
          <w:kern w:val="0"/>
          <w:sz w:val="28"/>
          <w:szCs w:val="28"/>
          <w:lang w:val="en-US" w:eastAsia="zh-CN"/>
        </w:rPr>
        <w:t>4</w:t>
      </w:r>
      <w:r>
        <w:rPr>
          <w:rFonts w:hint="eastAsia" w:ascii="Times New Roman" w:hAnsi="Times New Roman" w:eastAsia="仿宋_GB2312" w:cs="Times New Roman"/>
          <w:color w:val="auto"/>
          <w:kern w:val="0"/>
          <w:sz w:val="28"/>
          <w:szCs w:val="28"/>
        </w:rPr>
        <w:t>支付方式：</w:t>
      </w:r>
      <w:r>
        <w:rPr>
          <w:rFonts w:hint="eastAsia" w:ascii="Times New Roman" w:hAnsi="Times New Roman" w:eastAsia="仿宋_GB2312" w:cs="Times New Roman"/>
          <w:color w:val="auto"/>
          <w:kern w:val="0"/>
          <w:sz w:val="28"/>
          <w:szCs w:val="28"/>
          <w:u w:val="single"/>
        </w:rPr>
        <w:t>采用现金、银行承兑汇票或银行信用证之一种或多种</w:t>
      </w:r>
      <w:r>
        <w:rPr>
          <w:rFonts w:hint="eastAsia" w:ascii="Times New Roman" w:hAnsi="Times New Roman" w:eastAsia="仿宋_GB2312" w:cs="Times New Roman"/>
          <w:color w:val="auto"/>
          <w:sz w:val="28"/>
          <w:szCs w:val="28"/>
        </w:rPr>
        <w:t>______</w:t>
      </w:r>
      <w:r>
        <w:rPr>
          <w:rFonts w:hint="eastAsia" w:ascii="Times New Roman" w:hAnsi="Times New Roman" w:eastAsia="仿宋_GB2312" w:cs="Times New Roman"/>
          <w:color w:val="auto"/>
          <w:kern w:val="0"/>
          <w:sz w:val="28"/>
          <w:szCs w:val="28"/>
        </w:rPr>
        <w:t>。</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机械的交货和验收</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6.1</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机械在交货地点_</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rPr>
        <w:t>__，由甲方向乙方（或其代理人）交货。因不能预见、不能避免并不能克服的客观情况造成</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机械延迟交货时，甲方不承担责任。</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6.2</w:t>
      </w:r>
      <w:r>
        <w:rPr>
          <w:rFonts w:hint="eastAsia" w:ascii="Times New Roman" w:hAnsi="Times New Roman" w:eastAsia="仿宋_GB2312" w:cs="Times New Roman"/>
          <w:color w:val="auto"/>
          <w:sz w:val="28"/>
          <w:szCs w:val="28"/>
        </w:rPr>
        <w:t>乙方应自接收</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机械时起24小时在交货地点检查验收</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机械，同时将签收盖章后的</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机械的验收收据交给甲方以完成双方之间的交接手续。</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6.3</w:t>
      </w:r>
      <w:r>
        <w:rPr>
          <w:rFonts w:hint="eastAsia" w:ascii="Times New Roman" w:hAnsi="Times New Roman" w:eastAsia="仿宋_GB2312" w:cs="Times New Roman"/>
          <w:color w:val="auto"/>
          <w:sz w:val="28"/>
          <w:szCs w:val="28"/>
        </w:rPr>
        <w:t>如果乙方未按前款规定的时间办理验收，甲方则视为</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机械已在完整状态下由乙方验收完毕，并视同乙方已经将</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机械的验收收据交付给甲方。</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6.4</w:t>
      </w:r>
      <w:r>
        <w:rPr>
          <w:rFonts w:hint="eastAsia" w:ascii="Times New Roman" w:hAnsi="Times New Roman" w:eastAsia="仿宋_GB2312" w:cs="Times New Roman"/>
          <w:color w:val="auto"/>
          <w:sz w:val="28"/>
          <w:szCs w:val="28"/>
        </w:rPr>
        <w:t>如果乙方在验收时发现</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机械的型号、规格、数量和技术性能等有不符、不良或瑕疵等属于甲方的责任时，乙方应在交货当天，最迟不超过交货日期三天内，立即将上述情况书面通知甲方，由甲方负责处理，否则，视为</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机械符合本合同</w:t>
      </w:r>
      <w:r>
        <w:rPr>
          <w:rFonts w:hint="eastAsia" w:ascii="Times New Roman" w:hAnsi="Times New Roman" w:eastAsia="仿宋_GB2312" w:cs="Times New Roman"/>
          <w:color w:val="auto"/>
          <w:sz w:val="28"/>
          <w:szCs w:val="28"/>
          <w:lang w:eastAsia="zh-CN"/>
        </w:rPr>
        <w:t>的</w:t>
      </w:r>
      <w:r>
        <w:rPr>
          <w:rFonts w:hint="eastAsia" w:ascii="Times New Roman" w:hAnsi="Times New Roman" w:eastAsia="仿宋_GB2312" w:cs="Times New Roman"/>
          <w:color w:val="auto"/>
          <w:sz w:val="28"/>
          <w:szCs w:val="28"/>
        </w:rPr>
        <w:t>约定要求。</w:t>
      </w:r>
    </w:p>
    <w:p>
      <w:pPr>
        <w:spacing w:line="440" w:lineRule="exact"/>
        <w:ind w:firstLine="630" w:firstLineChars="225"/>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6.5</w:t>
      </w:r>
      <w:r>
        <w:rPr>
          <w:rFonts w:hint="eastAsia" w:ascii="Times New Roman" w:hAnsi="Times New Roman" w:eastAsia="仿宋_GB2312" w:cs="Times New Roman"/>
          <w:color w:val="auto"/>
          <w:sz w:val="28"/>
          <w:szCs w:val="28"/>
        </w:rPr>
        <w:t>甲方提供的所有设备均由甲方自行保管、操作，乙方不承担相关设备的任何保管责任。</w:t>
      </w:r>
    </w:p>
    <w:p>
      <w:pPr>
        <w:spacing w:line="440" w:lineRule="exact"/>
        <w:ind w:firstLine="630" w:firstLineChars="225"/>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6.6</w:t>
      </w:r>
      <w:r>
        <w:rPr>
          <w:rFonts w:hint="eastAsia" w:ascii="Times New Roman" w:hAnsi="Times New Roman" w:eastAsia="仿宋_GB2312" w:cs="Times New Roman"/>
          <w:color w:val="auto"/>
          <w:sz w:val="28"/>
          <w:szCs w:val="28"/>
        </w:rPr>
        <w:t>甲方提供</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设备</w:t>
      </w:r>
      <w:r>
        <w:rPr>
          <w:rFonts w:hint="eastAsia" w:ascii="Times New Roman" w:hAnsi="Times New Roman" w:eastAsia="仿宋_GB2312" w:cs="Times New Roman"/>
          <w:color w:val="auto"/>
          <w:sz w:val="28"/>
          <w:szCs w:val="28"/>
          <w:lang w:eastAsia="zh-CN"/>
        </w:rPr>
        <w:t>的资料：</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机械的安全使用、维修、保养和费用</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期内由乙方使用，甲方应负责</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机械的维修、保养，使设备保持良好状态，并承担由此产生的全部费用。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期内日常燃油由</w:t>
      </w:r>
      <w:r>
        <w:rPr>
          <w:rFonts w:hint="eastAsia" w:ascii="Times New Roman" w:hAnsi="Times New Roman" w:eastAsia="仿宋_GB2312" w:cs="Times New Roman"/>
          <w:color w:val="auto"/>
          <w:sz w:val="28"/>
          <w:szCs w:val="28"/>
          <w:u w:val="single"/>
        </w:rPr>
        <w:t>____</w:t>
      </w:r>
      <w:r>
        <w:rPr>
          <w:rFonts w:hint="eastAsia" w:ascii="Times New Roman" w:hAnsi="Times New Roman" w:eastAsia="仿宋_GB2312" w:cs="Times New Roman"/>
          <w:color w:val="auto"/>
          <w:sz w:val="28"/>
          <w:szCs w:val="28"/>
        </w:rPr>
        <w:t>方负责。</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期内，甲方负责对设备故障进行排除，维修时间超过一天（含一天）的在结算</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期中扣出，甲方维修时间一般不能超过</w:t>
      </w:r>
      <w:r>
        <w:rPr>
          <w:rFonts w:hint="eastAsia" w:ascii="Times New Roman" w:hAnsi="Times New Roman" w:eastAsia="仿宋_GB2312" w:cs="Times New Roman"/>
          <w:color w:val="auto"/>
          <w:sz w:val="28"/>
          <w:szCs w:val="28"/>
          <w:u w:val="single"/>
        </w:rPr>
        <w:t xml:space="preserve"> 2 </w:t>
      </w:r>
      <w:r>
        <w:rPr>
          <w:rFonts w:hint="eastAsia" w:ascii="Times New Roman" w:hAnsi="Times New Roman" w:eastAsia="仿宋_GB2312" w:cs="Times New Roman"/>
          <w:color w:val="auto"/>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auto"/>
          <w:sz w:val="28"/>
          <w:szCs w:val="28"/>
          <w:highlight w:val="yellow"/>
          <w:u w:val="single"/>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rPr>
        <w:t>乙方不得安排甲方机械违反安全规章作业，如果乙方安排违章作业，甲方有权停止工作，并可单方面解除合同。</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机械在乙方施工安排使用过程中，发生的安全事故由甲方承担全部责任和损失。</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租赁机械运费的承担</w:t>
      </w:r>
    </w:p>
    <w:p>
      <w:pPr>
        <w:numPr>
          <w:ilvl w:val="0"/>
          <w:numId w:val="0"/>
        </w:num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租赁机械的运费（包括进退场的费用）由甲方承担。</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违约责任</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auto"/>
          <w:sz w:val="28"/>
          <w:szCs w:val="28"/>
          <w:u w:val="single"/>
        </w:rPr>
        <w:t>_____%</w:t>
      </w:r>
      <w:r>
        <w:rPr>
          <w:rFonts w:hint="eastAsia" w:ascii="Times New Roman" w:hAnsi="Times New Roman" w:eastAsia="仿宋_GB2312" w:cs="Times New Roman"/>
          <w:color w:val="auto"/>
          <w:sz w:val="28"/>
          <w:szCs w:val="28"/>
        </w:rPr>
        <w:t>的违约金。</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期间，乙方如对</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提供给</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的增值税专用发票必须符合</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验票、抵扣的要求，</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必须在发票开具之日起120天之内将发票送达</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，若因</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未及时提供增值税专用发票送达</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导致</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无法抵扣，</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所有经济损失及责任全部由</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承担。</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其他</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rPr>
        <w:t>关于商业（法律）文书的送达</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 甲方（供应方）确认其有效的送达地址为_________________，联系人</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，联系电话</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 乙方（使用方）确认其有效的送达地址为_________________，联系人</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，联系电话</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lang w:eastAsia="zh-CN"/>
        </w:rPr>
        <w:t>甲</w:t>
      </w:r>
      <w:r>
        <w:rPr>
          <w:rFonts w:hint="eastAsia" w:ascii="Times New Roman" w:hAnsi="Times New Roman" w:eastAsia="仿宋_GB2312"/>
          <w:color w:val="auto"/>
          <w:kern w:val="0"/>
          <w:sz w:val="28"/>
          <w:szCs w:val="28"/>
        </w:rPr>
        <w:t>方承诺、保证并同意：</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1</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2</w:t>
      </w:r>
      <w:r>
        <w:rPr>
          <w:rFonts w:hint="eastAsia" w:ascii="Times New Roman" w:hAnsi="Times New Roman" w:eastAsia="仿宋_GB2312"/>
          <w:color w:val="auto"/>
          <w:kern w:val="0"/>
          <w:sz w:val="28"/>
          <w:szCs w:val="28"/>
          <w:lang w:eastAsia="zh-CN"/>
        </w:rPr>
        <w:t>.甲</w:t>
      </w:r>
      <w:r>
        <w:rPr>
          <w:rFonts w:hint="eastAsia" w:ascii="Times New Roman" w:hAnsi="Times New Roman" w:eastAsia="仿宋_GB2312"/>
          <w:color w:val="auto"/>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（1）政府的官员、员工和代表，以及代表政府行事的其他人员（或其他被授权行使公权力的人员）；</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（2）国际组织的领导、官员和代表；</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（3）政府机构候选人，政党领导、员工和代表，王室成员；</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（4）国有或国家控股公司或实体的官员和员工；</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 xml:space="preserve">（5）上述人员的近亲属或紧密关系人。 </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3</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不存在任何针对</w:t>
      </w:r>
      <w:r>
        <w:rPr>
          <w:rFonts w:hint="eastAsia" w:ascii="Times New Roman" w:hAnsi="Times New Roman" w:eastAsia="仿宋_GB2312"/>
          <w:color w:val="auto"/>
          <w:kern w:val="0"/>
          <w:sz w:val="28"/>
          <w:szCs w:val="28"/>
          <w:lang w:eastAsia="zh-CN"/>
        </w:rPr>
        <w:t>甲</w:t>
      </w:r>
      <w:r>
        <w:rPr>
          <w:rFonts w:hint="eastAsia" w:ascii="Times New Roman" w:hAnsi="Times New Roman" w:eastAsia="仿宋_GB2312"/>
          <w:color w:val="auto"/>
          <w:kern w:val="0"/>
          <w:sz w:val="28"/>
          <w:szCs w:val="28"/>
        </w:rPr>
        <w:t>方或其任何高管和员工的正在进行的刑事调查，也没有因与贿赂、腐败或违反商业法律有关的不当行为而在中国或其他国家受过民事或刑事执行措施。</w:t>
      </w:r>
    </w:p>
    <w:p>
      <w:pPr>
        <w:widowControl w:val="0"/>
        <w:spacing w:line="440" w:lineRule="exact"/>
        <w:ind w:firstLine="560" w:firstLineChars="200"/>
        <w:jc w:val="both"/>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4</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违反上述规定，</w:t>
      </w:r>
      <w:r>
        <w:rPr>
          <w:rFonts w:hint="eastAsia" w:ascii="Times New Roman" w:hAnsi="Times New Roman" w:eastAsia="仿宋_GB2312"/>
          <w:color w:val="auto"/>
          <w:kern w:val="0"/>
          <w:sz w:val="28"/>
          <w:szCs w:val="28"/>
          <w:lang w:eastAsia="zh-CN"/>
        </w:rPr>
        <w:t>乙方</w:t>
      </w:r>
      <w:r>
        <w:rPr>
          <w:rFonts w:hint="eastAsia" w:ascii="Times New Roman" w:hAnsi="Times New Roman" w:eastAsia="仿宋_GB2312"/>
          <w:color w:val="auto"/>
          <w:kern w:val="0"/>
          <w:sz w:val="28"/>
          <w:szCs w:val="28"/>
        </w:rPr>
        <w:t>有权立即解除合同并追偿损失。</w:t>
      </w:r>
    </w:p>
    <w:p>
      <w:pPr>
        <w:widowControl/>
        <w:tabs>
          <w:tab w:val="left" w:pos="0"/>
        </w:tabs>
        <w:spacing w:line="440" w:lineRule="exact"/>
        <w:ind w:firstLine="560" w:firstLineChars="200"/>
        <w:jc w:val="left"/>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11.</w:t>
      </w:r>
      <w:r>
        <w:rPr>
          <w:rFonts w:hint="eastAsia" w:ascii="Times New Roman" w:hAnsi="Times New Roman" w:eastAsia="仿宋_GB2312" w:cs="Times New Roman"/>
          <w:color w:val="auto"/>
          <w:kern w:val="0"/>
          <w:sz w:val="28"/>
          <w:szCs w:val="28"/>
          <w:lang w:val="en-US" w:eastAsia="zh-CN"/>
        </w:rPr>
        <w:t>5</w:t>
      </w:r>
      <w:r>
        <w:rPr>
          <w:rFonts w:hint="eastAsia" w:ascii="Times New Roman" w:hAnsi="Times New Roman" w:eastAsia="仿宋_GB2312" w:cs="Times New Roman"/>
          <w:color w:val="auto"/>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auto"/>
          <w:kern w:val="0"/>
          <w:sz w:val="28"/>
          <w:szCs w:val="28"/>
          <w:u w:val="single"/>
        </w:rPr>
        <w:t xml:space="preserve"> 五 </w:t>
      </w:r>
      <w:r>
        <w:rPr>
          <w:rFonts w:hint="eastAsia" w:ascii="Times New Roman" w:hAnsi="Times New Roman" w:eastAsia="仿宋_GB2312" w:cs="Times New Roman"/>
          <w:color w:val="auto"/>
          <w:kern w:val="0"/>
          <w:sz w:val="28"/>
          <w:szCs w:val="28"/>
        </w:rPr>
        <w:t>份，甲执</w:t>
      </w:r>
      <w:r>
        <w:rPr>
          <w:rFonts w:hint="eastAsia" w:ascii="Times New Roman" w:hAnsi="Times New Roman" w:eastAsia="仿宋_GB2312" w:cs="Times New Roman"/>
          <w:color w:val="auto"/>
          <w:kern w:val="0"/>
          <w:sz w:val="28"/>
          <w:szCs w:val="28"/>
          <w:u w:val="single"/>
        </w:rPr>
        <w:t xml:space="preserve"> 四 </w:t>
      </w:r>
      <w:r>
        <w:rPr>
          <w:rFonts w:hint="eastAsia" w:ascii="Times New Roman" w:hAnsi="Times New Roman" w:eastAsia="仿宋_GB2312" w:cs="Times New Roman"/>
          <w:color w:val="auto"/>
          <w:kern w:val="0"/>
          <w:sz w:val="28"/>
          <w:szCs w:val="28"/>
        </w:rPr>
        <w:t>份，乙方执</w:t>
      </w:r>
      <w:r>
        <w:rPr>
          <w:rFonts w:hint="eastAsia" w:ascii="Times New Roman" w:hAnsi="Times New Roman" w:eastAsia="仿宋_GB2312" w:cs="Times New Roman"/>
          <w:color w:val="auto"/>
          <w:kern w:val="0"/>
          <w:sz w:val="28"/>
          <w:szCs w:val="28"/>
          <w:u w:val="single"/>
        </w:rPr>
        <w:t xml:space="preserve"> 一 </w:t>
      </w:r>
      <w:r>
        <w:rPr>
          <w:rFonts w:hint="eastAsia" w:ascii="Times New Roman" w:hAnsi="Times New Roman" w:eastAsia="仿宋_GB2312" w:cs="Times New Roman"/>
          <w:color w:val="auto"/>
          <w:kern w:val="0"/>
          <w:sz w:val="28"/>
          <w:szCs w:val="28"/>
        </w:rPr>
        <w:t>份。</w:t>
      </w:r>
    </w:p>
    <w:p>
      <w:pPr>
        <w:widowControl/>
        <w:tabs>
          <w:tab w:val="left" w:pos="0"/>
        </w:tabs>
        <w:spacing w:line="440" w:lineRule="exact"/>
        <w:ind w:firstLine="560" w:firstLineChars="200"/>
        <w:jc w:val="left"/>
        <w:rPr>
          <w:rFonts w:ascii="Times New Roman" w:hAnsi="Times New Roman" w:eastAsia="仿宋_GB2312" w:cs="Times New Roman"/>
          <w:color w:val="auto"/>
          <w:kern w:val="0"/>
          <w:sz w:val="28"/>
          <w:szCs w:val="28"/>
        </w:rPr>
      </w:pPr>
    </w:p>
    <w:p>
      <w:pPr>
        <w:widowControl/>
        <w:tabs>
          <w:tab w:val="left" w:pos="0"/>
        </w:tabs>
        <w:spacing w:line="440" w:lineRule="exact"/>
        <w:ind w:firstLine="560" w:firstLineChars="200"/>
        <w:jc w:val="left"/>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eastAsia="zh-CN"/>
        </w:rPr>
        <w:t>附件：</w:t>
      </w:r>
      <w:r>
        <w:rPr>
          <w:rFonts w:hint="eastAsia" w:ascii="Times New Roman" w:hAnsi="Times New Roman" w:eastAsia="仿宋_GB2312" w:cs="Times New Roman"/>
          <w:color w:val="auto"/>
          <w:kern w:val="0"/>
          <w:sz w:val="28"/>
          <w:szCs w:val="28"/>
          <w:lang w:val="en-US" w:eastAsia="zh-CN"/>
        </w:rPr>
        <w:t>1.</w:t>
      </w:r>
      <w:r>
        <w:rPr>
          <w:rFonts w:hint="eastAsia" w:ascii="Times New Roman" w:hAnsi="Times New Roman" w:eastAsia="仿宋" w:cs="Times New Roman"/>
          <w:bCs/>
          <w:color w:val="auto"/>
          <w:sz w:val="28"/>
          <w:szCs w:val="28"/>
        </w:rPr>
        <w:t>_____________（填：合同名称）合同清单</w:t>
      </w:r>
      <w:r>
        <w:rPr>
          <w:rFonts w:hint="eastAsia" w:ascii="Times New Roman" w:hAnsi="Times New Roman" w:eastAsia="仿宋_GB2312" w:cs="Times New Roman"/>
          <w:bCs/>
          <w:i/>
          <w:color w:val="auto"/>
          <w:sz w:val="28"/>
          <w:szCs w:val="28"/>
          <w:u w:val="single"/>
          <w:lang w:eastAsia="zh-CN"/>
        </w:rPr>
        <w:t>（详见</w:t>
      </w:r>
      <w:r>
        <w:rPr>
          <w:rFonts w:hint="eastAsia" w:ascii="Times New Roman" w:hAnsi="Times New Roman" w:eastAsia="仿宋_GB2312" w:cs="Times New Roman"/>
          <w:bCs/>
          <w:i/>
          <w:color w:val="auto"/>
          <w:sz w:val="28"/>
          <w:szCs w:val="28"/>
          <w:u w:val="single"/>
          <w:lang w:val="en-US" w:eastAsia="zh-CN"/>
        </w:rPr>
        <w:t>excel文件</w:t>
      </w:r>
      <w:r>
        <w:rPr>
          <w:rFonts w:hint="eastAsia" w:ascii="Times New Roman" w:hAnsi="Times New Roman" w:eastAsia="仿宋_GB2312" w:cs="Times New Roman"/>
          <w:bCs/>
          <w:i/>
          <w:color w:val="auto"/>
          <w:sz w:val="28"/>
          <w:szCs w:val="28"/>
          <w:u w:val="single"/>
          <w:lang w:eastAsia="zh-CN"/>
        </w:rPr>
        <w:t>）</w:t>
      </w:r>
    </w:p>
    <w:p>
      <w:pPr>
        <w:widowControl/>
        <w:tabs>
          <w:tab w:val="left" w:pos="0"/>
        </w:tabs>
        <w:spacing w:line="440" w:lineRule="exact"/>
        <w:ind w:firstLine="560" w:firstLineChars="200"/>
        <w:jc w:val="lef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（本页无正文，为签字盖章页）</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甲方：</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乙方：</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签订地点：</w:t>
      </w:r>
    </w:p>
    <w:p>
      <w:pPr>
        <w:rPr>
          <w:color w:val="auto"/>
        </w:rPr>
        <w:sectPr>
          <w:pgSz w:w="11906" w:h="16838"/>
          <w:pgMar w:top="1440" w:right="1800" w:bottom="1440" w:left="1800" w:header="851" w:footer="992" w:gutter="0"/>
          <w:cols w:space="425"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2602" w:type="dxa"/>
            <w:gridSpan w:val="2"/>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226" w:type="dxa"/>
            <w:vAlign w:val="center"/>
          </w:tcPr>
          <w:p>
            <w:pPr>
              <w:rPr>
                <w:rFonts w:hint="default" w:ascii="Times New Roman" w:hAnsi="Times New Roman" w:eastAsia="宋体" w:cs="Times New Roman"/>
                <w:i w:val="0"/>
                <w:color w:val="auto"/>
                <w:sz w:val="33"/>
                <w:szCs w:val="33"/>
                <w:u w:val="none"/>
              </w:rPr>
            </w:pPr>
          </w:p>
        </w:tc>
        <w:tc>
          <w:tcPr>
            <w:tcW w:w="1226" w:type="dxa"/>
            <w:vAlign w:val="center"/>
          </w:tcPr>
          <w:p>
            <w:pPr>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2、实际租期不足一个单位的，以实际租期天数按比例折算。</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r>
              <w:rPr>
                <w:rFonts w:hint="eastAsia" w:ascii="宋体" w:hAnsi="宋体" w:eastAsia="宋体" w:cs="宋体"/>
                <w:i w:val="0"/>
                <w:color w:val="auto"/>
                <w:kern w:val="0"/>
                <w:sz w:val="28"/>
                <w:szCs w:val="28"/>
                <w:u w:val="none"/>
                <w:lang w:val="en-US" w:eastAsia="zh-CN" w:bidi="ar"/>
              </w:rPr>
              <w:t>、（按需要补充说明。）</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auto"/>
                <w:sz w:val="24"/>
                <w:szCs w:val="24"/>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auto"/>
                <w:sz w:val="24"/>
                <w:szCs w:val="24"/>
                <w:u w:val="none"/>
              </w:rPr>
            </w:pPr>
          </w:p>
        </w:tc>
      </w:tr>
    </w:tbl>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sectPr>
          <w:headerReference r:id="rId5" w:type="default"/>
          <w:footerReference r:id="rId6" w:type="default"/>
          <w:pgSz w:w="16838" w:h="11906" w:orient="landscape"/>
          <w:pgMar w:top="1202" w:right="1417" w:bottom="1485" w:left="1417" w:header="851" w:footer="992" w:gutter="0"/>
          <w:cols w:space="0" w:num="1"/>
          <w:rtlGutter w:val="0"/>
          <w:docGrid w:type="lines" w:linePitch="317" w:charSpace="0"/>
        </w:sect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44"/>
          <w:szCs w:val="44"/>
          <w:highlight w:val="none"/>
          <w:u w:val="single"/>
        </w:rPr>
      </w:pPr>
      <w:r>
        <w:rPr>
          <w:rFonts w:hint="eastAsia" w:ascii="宋体" w:hAnsi="宋体" w:cs="宋体"/>
          <w:b/>
          <w:color w:val="auto"/>
          <w:sz w:val="30"/>
          <w:highlight w:val="none"/>
        </w:rPr>
        <w:t>第六部分  投标文件格式</w:t>
      </w:r>
    </w:p>
    <w:p>
      <w:pPr>
        <w:widowControl/>
        <w:jc w:val="left"/>
        <w:rPr>
          <w:rFonts w:ascii="宋体" w:hAnsi="宋体" w:cs="宋体"/>
          <w:b/>
          <w:color w:val="auto"/>
          <w:sz w:val="44"/>
          <w:szCs w:val="44"/>
          <w:highlight w:val="none"/>
          <w:u w:val="single"/>
        </w:rPr>
      </w:pPr>
    </w:p>
    <w:p>
      <w:pPr>
        <w:spacing w:line="560" w:lineRule="exact"/>
        <w:jc w:val="center"/>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u w:val="single"/>
          <w:lang w:val="en-US" w:eastAsia="zh-CN"/>
        </w:rPr>
        <w:t>方悦立交工程土石方运输</w:t>
      </w:r>
    </w:p>
    <w:p>
      <w:pPr>
        <w:spacing w:line="560" w:lineRule="exact"/>
        <w:jc w:val="center"/>
        <w:rPr>
          <w:rFonts w:hint="eastAsia" w:ascii="黑体" w:hAnsi="黑体" w:eastAsia="黑体" w:cs="黑体"/>
          <w:b w:val="0"/>
          <w:bCs w:val="0"/>
          <w:color w:val="auto"/>
          <w:sz w:val="36"/>
          <w:szCs w:val="36"/>
          <w:u w:val="single"/>
          <w:lang w:val="en-US" w:eastAsia="zh-CN"/>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cs="宋体"/>
          <w:b/>
          <w:color w:val="auto"/>
          <w:sz w:val="72"/>
          <w:szCs w:val="72"/>
          <w:highlight w:val="non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color w:val="auto"/>
          <w:sz w:val="28"/>
          <w:szCs w:val="28"/>
          <w:highlight w:val="none"/>
        </w:rPr>
      </w:pPr>
      <w:r>
        <w:rPr>
          <w:rFonts w:hint="eastAsia" w:ascii="宋体" w:hAnsi="宋体"/>
          <w:color w:val="auto"/>
          <w:sz w:val="28"/>
          <w:szCs w:val="28"/>
          <w:highlight w:val="none"/>
        </w:rPr>
        <w:br w:type="page"/>
      </w:r>
      <w:r>
        <w:rPr>
          <w:rFonts w:hint="eastAsia" w:ascii="宋体" w:hAnsi="宋体" w:cs="宋体"/>
          <w:b/>
          <w:color w:val="auto"/>
          <w:sz w:val="28"/>
          <w:szCs w:val="28"/>
          <w:highlight w:val="none"/>
        </w:rPr>
        <w:t>目录</w:t>
      </w:r>
    </w:p>
    <w:p>
      <w:pPr>
        <w:spacing w:line="560" w:lineRule="exact"/>
        <w:rPr>
          <w:rFonts w:ascii="宋体" w:hAnsi="宋体" w:cs="宋体"/>
          <w:color w:val="auto"/>
          <w:sz w:val="28"/>
          <w:szCs w:val="28"/>
          <w:highlight w:val="none"/>
        </w:rPr>
      </w:pPr>
    </w:p>
    <w:p>
      <w:pPr>
        <w:spacing w:line="560" w:lineRule="exact"/>
        <w:ind w:left="566" w:hanging="565" w:hangingChars="202"/>
        <w:rPr>
          <w:rFonts w:ascii="宋体" w:hAnsi="宋体" w:cs="宋体"/>
          <w:color w:val="auto"/>
          <w:sz w:val="28"/>
          <w:szCs w:val="28"/>
          <w:highlight w:val="none"/>
        </w:rPr>
      </w:pPr>
      <w:r>
        <w:rPr>
          <w:rFonts w:hint="eastAsia" w:ascii="宋体" w:hAnsi="宋体" w:cs="宋体"/>
          <w:color w:val="auto"/>
          <w:sz w:val="28"/>
          <w:szCs w:val="28"/>
          <w:highlight w:val="none"/>
        </w:rPr>
        <w:t>一、投标函（附企业营业执照、基本账户开户许可证）</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二、法定代表人资格证明书</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三、法定代表人授权书及身份证</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color w:val="auto"/>
          <w:sz w:val="28"/>
          <w:szCs w:val="28"/>
          <w:highlight w:val="none"/>
        </w:rPr>
      </w:pPr>
    </w:p>
    <w:p>
      <w:pPr>
        <w:spacing w:line="560" w:lineRule="exact"/>
        <w:rPr>
          <w:rFonts w:ascii="宋体" w:hAnsi="宋体" w:cs="宋体"/>
          <w:color w:val="auto"/>
          <w:sz w:val="28"/>
          <w:szCs w:val="28"/>
          <w:highlight w:val="none"/>
        </w:rPr>
      </w:pPr>
    </w:p>
    <w:p>
      <w:pPr>
        <w:widowControl/>
        <w:spacing w:line="560" w:lineRule="exact"/>
        <w:jc w:val="left"/>
        <w:rPr>
          <w:rFonts w:ascii="宋体" w:hAnsi="宋体" w:cs="宋体"/>
          <w:color w:val="auto"/>
          <w:sz w:val="28"/>
          <w:szCs w:val="28"/>
          <w:highlight w:val="none"/>
        </w:rPr>
      </w:pPr>
      <w:r>
        <w:rPr>
          <w:rFonts w:hint="eastAsia" w:ascii="宋体" w:hAnsi="宋体"/>
          <w:color w:val="auto"/>
          <w:sz w:val="28"/>
          <w:szCs w:val="28"/>
          <w:highlight w:val="none"/>
        </w:rPr>
        <w:br w:type="page"/>
      </w:r>
    </w:p>
    <w:p>
      <w:pPr>
        <w:widowControl/>
        <w:spacing w:line="560" w:lineRule="exact"/>
        <w:jc w:val="center"/>
        <w:outlineLvl w:val="4"/>
        <w:rPr>
          <w:rFonts w:ascii="宋体" w:hAnsi="宋体" w:cs="宋体"/>
          <w:b/>
          <w:color w:val="auto"/>
          <w:sz w:val="28"/>
          <w:szCs w:val="28"/>
          <w:highlight w:val="none"/>
        </w:rPr>
      </w:pPr>
      <w:r>
        <w:rPr>
          <w:rFonts w:hint="eastAsia" w:ascii="宋体" w:hAnsi="宋体" w:cs="宋体"/>
          <w:b/>
          <w:color w:val="auto"/>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我方已仔细研究了</w:t>
      </w:r>
      <w:r>
        <w:rPr>
          <w:rFonts w:hint="eastAsia"/>
          <w:color w:val="auto"/>
          <w:sz w:val="28"/>
          <w:szCs w:val="28"/>
          <w:u w:val="single"/>
          <w:lang w:val="en-US" w:eastAsia="zh-CN"/>
        </w:rPr>
        <w:t>方悦立交工程土石方运输</w:t>
      </w:r>
      <w:r>
        <w:rPr>
          <w:rFonts w:hint="eastAsia" w:ascii="宋体" w:hAnsi="宋体" w:cs="宋体"/>
          <w:color w:val="auto"/>
          <w:sz w:val="28"/>
          <w:szCs w:val="28"/>
          <w:highlight w:val="none"/>
        </w:rPr>
        <w:t>（项目名称）招采文件的全部内容，愿意以人民币（大写）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的投标总报价参与投标,此报价包含招采范围内的所有工</w:t>
      </w:r>
      <w:r>
        <w:rPr>
          <w:rFonts w:hint="eastAsia" w:ascii="宋体" w:hAnsi="宋体" w:cs="宋体"/>
          <w:color w:val="auto"/>
          <w:sz w:val="28"/>
          <w:szCs w:val="28"/>
          <w:highlight w:val="none"/>
          <w:lang w:eastAsia="zh-CN"/>
        </w:rPr>
        <w:t>作</w:t>
      </w:r>
      <w:r>
        <w:rPr>
          <w:rFonts w:hint="eastAsia" w:ascii="宋体" w:hAnsi="宋体" w:cs="宋体"/>
          <w:color w:val="auto"/>
          <w:sz w:val="28"/>
          <w:szCs w:val="28"/>
          <w:highlight w:val="none"/>
        </w:rPr>
        <w:t>内容及其相关费用。</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我方同意以下内容：</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（盖公章）</w:t>
      </w:r>
    </w:p>
    <w:p>
      <w:pPr>
        <w:spacing w:line="520" w:lineRule="exact"/>
        <w:ind w:left="2100" w:leftChars="1000"/>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w:t>
      </w:r>
      <w:r>
        <w:rPr>
          <w:rFonts w:hint="eastAsia" w:ascii="宋体" w:hAnsi="宋体" w:cs="宋体"/>
          <w:color w:val="auto"/>
          <w:sz w:val="28"/>
          <w:szCs w:val="28"/>
          <w:highlight w:val="none"/>
          <w:u w:val="single"/>
        </w:rPr>
        <w:t xml:space="preserve">         （签字）  </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电话：</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传真：</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日期：年月日</w:t>
      </w:r>
    </w:p>
    <w:p>
      <w:pPr>
        <w:rPr>
          <w:rFonts w:ascii="宋体" w:hAnsi="宋体" w:cs="宋体"/>
          <w:b/>
          <w:color w:val="auto"/>
          <w:sz w:val="28"/>
          <w:szCs w:val="28"/>
          <w:highlight w:val="none"/>
        </w:rPr>
      </w:pPr>
      <w:r>
        <w:rPr>
          <w:rFonts w:hint="eastAsia" w:ascii="宋体" w:hAnsi="宋体"/>
          <w:color w:val="auto"/>
          <w:sz w:val="28"/>
          <w:szCs w:val="28"/>
          <w:highlight w:val="none"/>
        </w:rPr>
        <w:br w:type="page"/>
      </w:r>
      <w:bookmarkStart w:id="7" w:name="_Hlt16935467"/>
      <w:bookmarkEnd w:id="7"/>
      <w:bookmarkStart w:id="8" w:name="_Toc123786881"/>
      <w:bookmarkStart w:id="9" w:name="_Toc6727972"/>
      <w:bookmarkStart w:id="10" w:name="_Toc90779596"/>
      <w:bookmarkStart w:id="11" w:name="_Toc65998016"/>
      <w:bookmarkStart w:id="12" w:name="_Toc6397151"/>
      <w:bookmarkStart w:id="13" w:name="_Toc491658680"/>
      <w:bookmarkStart w:id="14" w:name="_Toc500861027"/>
      <w:bookmarkStart w:id="15" w:name="_Toc26066260"/>
      <w:r>
        <w:rPr>
          <w:rFonts w:hint="eastAsia" w:ascii="宋体" w:hAnsi="宋体" w:cs="宋体"/>
          <w:color w:val="auto"/>
          <w:sz w:val="28"/>
          <w:szCs w:val="28"/>
          <w:highlight w:val="none"/>
        </w:rPr>
        <w:t>附：企业营业执照复印件（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br w:type="page"/>
      </w:r>
    </w:p>
    <w:bookmarkEnd w:id="8"/>
    <w:p>
      <w:pPr>
        <w:widowControl/>
        <w:jc w:val="center"/>
        <w:outlineLvl w:val="4"/>
        <w:rPr>
          <w:rFonts w:ascii="宋体" w:hAnsi="宋体" w:cs="宋体"/>
          <w:b/>
          <w:color w:val="auto"/>
          <w:sz w:val="28"/>
          <w:szCs w:val="28"/>
          <w:highlight w:val="none"/>
        </w:rPr>
      </w:pPr>
      <w:bookmarkStart w:id="16" w:name="_Toc123786883"/>
      <w:r>
        <w:rPr>
          <w:rFonts w:hint="eastAsia" w:ascii="宋体" w:hAnsi="宋体" w:cs="宋体"/>
          <w:b/>
          <w:color w:val="auto"/>
          <w:sz w:val="28"/>
          <w:szCs w:val="28"/>
          <w:highlight w:val="none"/>
        </w:rPr>
        <w:t>二、法定代表人资格证明书</w:t>
      </w:r>
    </w:p>
    <w:p>
      <w:pPr>
        <w:rPr>
          <w:rFonts w:ascii="宋体" w:hAnsi="宋体" w:cs="宋体"/>
          <w:color w:val="auto"/>
          <w:kern w:val="0"/>
          <w:sz w:val="28"/>
          <w:szCs w:val="28"/>
          <w:highlight w:val="none"/>
        </w:rPr>
      </w:pPr>
    </w:p>
    <w:p>
      <w:pP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单位名称：</w:t>
      </w:r>
    </w:p>
    <w:p>
      <w:pP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地址：</w:t>
      </w:r>
    </w:p>
    <w:p>
      <w:pPr>
        <w:rPr>
          <w:rFonts w:ascii="宋体" w:hAnsi="宋体" w:cs="宋体"/>
          <w:color w:val="auto"/>
          <w:kern w:val="0"/>
          <w:sz w:val="28"/>
          <w:szCs w:val="28"/>
          <w:highlight w:val="none"/>
          <w:u w:val="single"/>
        </w:rPr>
      </w:pPr>
    </w:p>
    <w:p>
      <w:pPr>
        <w:rPr>
          <w:rFonts w:hint="eastAsia" w:ascii="宋体" w:hAnsi="宋体" w:eastAsia="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方悦立交工程土石方运输</w:t>
      </w:r>
      <w:r>
        <w:rPr>
          <w:rFonts w:hint="eastAsia" w:ascii="宋体" w:hAnsi="宋体" w:cs="宋体"/>
          <w:color w:val="auto"/>
          <w:sz w:val="28"/>
          <w:szCs w:val="28"/>
        </w:rPr>
        <w:t>招采</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项目</w:t>
      </w:r>
      <w:r>
        <w:rPr>
          <w:rFonts w:hint="eastAsia" w:ascii="宋体" w:hAnsi="宋体" w:cs="宋体"/>
          <w:color w:val="auto"/>
          <w:sz w:val="28"/>
          <w:szCs w:val="28"/>
          <w:highlight w:val="none"/>
        </w:rPr>
        <w:t>名称）招采（招采编号：</w:t>
      </w:r>
      <w:r>
        <w:rPr>
          <w:rFonts w:hint="eastAsia" w:ascii="宋体" w:hAnsi="宋体" w:cs="宋体"/>
          <w:color w:val="auto"/>
          <w:kern w:val="0"/>
          <w:sz w:val="28"/>
          <w:szCs w:val="28"/>
          <w:highlight w:val="none"/>
        </w:rPr>
        <w:t>）</w:t>
      </w:r>
      <w:r>
        <w:rPr>
          <w:rFonts w:hint="eastAsia" w:ascii="宋体" w:hAnsi="宋体" w:cs="宋体"/>
          <w:color w:val="auto"/>
          <w:sz w:val="28"/>
          <w:szCs w:val="28"/>
          <w:highlight w:val="none"/>
        </w:rPr>
        <w:t>的投标活动</w:t>
      </w:r>
      <w:r>
        <w:rPr>
          <w:rFonts w:hint="eastAsia" w:ascii="宋体" w:hAnsi="宋体" w:cs="宋体"/>
          <w:color w:val="auto"/>
          <w:kern w:val="0"/>
          <w:sz w:val="28"/>
          <w:szCs w:val="28"/>
          <w:highlight w:val="none"/>
        </w:rPr>
        <w:t>，签署投标文件、进行合同谈判、签署合同和处理与之有关的一切事务。</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特此证明。</w:t>
      </w:r>
    </w:p>
    <w:p>
      <w:pPr>
        <w:rPr>
          <w:rFonts w:ascii="宋体" w:hAnsi="宋体" w:cs="宋体"/>
          <w:color w:val="auto"/>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3039745"/>
                <wp:effectExtent l="4445" t="4445" r="9525" b="22860"/>
                <wp:wrapNone/>
                <wp:docPr id="2" name="矩形 2"/>
                <wp:cNvGraphicFramePr/>
                <a:graphic xmlns:a="http://schemas.openxmlformats.org/drawingml/2006/main">
                  <a:graphicData uri="http://schemas.microsoft.com/office/word/2010/wordprocessingShape">
                    <wps:wsp>
                      <wps:cNvSpPr/>
                      <wps:spPr>
                        <a:xfrm>
                          <a:off x="0" y="0"/>
                          <a:ext cx="5586730" cy="3039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239.35pt;width:439.9pt;z-index:251661312;mso-width-relative:page;mso-height-relative:page;" fillcolor="#FFFFFF" filled="t" stroked="t" coordsize="21600,21600" o:gfxdata="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bnr5jaAAAACgEAAA8AAAAAAAAAAQAgAAAAIgAA&#10;AGRycy9kb3ducmV2LnhtbFBLAQIUABQAAAAIAIdO4kAZCw6zBgIAADgEAAAOAAAAAAAAAAEAIAAA&#10;ACkBAABkcnMvZTJvRG9jLnhtbFBLBQYAAAAABgAGAFkBAACh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color w:val="auto"/>
          <w:sz w:val="28"/>
          <w:szCs w:val="28"/>
          <w:highlight w:val="none"/>
        </w:rPr>
        <w:t>附：法定代表人的身份证复印件：</w:t>
      </w: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hint="eastAsia" w:ascii="宋体" w:hAnsi="宋体" w:cs="宋体"/>
          <w:color w:val="auto"/>
          <w:kern w:val="0"/>
          <w:sz w:val="28"/>
          <w:szCs w:val="28"/>
          <w:highlight w:val="none"/>
        </w:rPr>
      </w:pPr>
    </w:p>
    <w:p>
      <w:pPr>
        <w:rPr>
          <w:rFonts w:hint="eastAsia" w:ascii="宋体" w:hAnsi="宋体" w:cs="宋体"/>
          <w:color w:val="auto"/>
          <w:kern w:val="0"/>
          <w:sz w:val="28"/>
          <w:szCs w:val="28"/>
          <w:highlight w:val="none"/>
        </w:rPr>
      </w:pPr>
    </w:p>
    <w:p>
      <w:pPr>
        <w:rPr>
          <w:rFonts w:hint="eastAsia" w:ascii="宋体" w:hAnsi="宋体" w:cs="宋体"/>
          <w:color w:val="auto"/>
          <w:kern w:val="0"/>
          <w:sz w:val="28"/>
          <w:szCs w:val="28"/>
          <w:highlight w:val="none"/>
        </w:rPr>
      </w:pP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投标人：（盖公章）</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日期：年月日</w:t>
      </w:r>
    </w:p>
    <w:p>
      <w:pPr>
        <w:widowControl/>
        <w:jc w:val="center"/>
        <w:outlineLvl w:val="4"/>
        <w:rPr>
          <w:rFonts w:ascii="宋体" w:hAnsi="宋体" w:cs="宋体"/>
          <w:b/>
          <w:color w:val="auto"/>
          <w:sz w:val="28"/>
          <w:szCs w:val="28"/>
          <w:highlight w:val="none"/>
        </w:rPr>
      </w:pPr>
      <w:r>
        <w:rPr>
          <w:rFonts w:hint="eastAsia" w:ascii="宋体" w:hAnsi="宋体"/>
          <w:bCs/>
          <w:color w:val="auto"/>
          <w:sz w:val="28"/>
          <w:szCs w:val="28"/>
          <w:highlight w:val="none"/>
        </w:rPr>
        <w:br w:type="page"/>
      </w:r>
      <w:bookmarkStart w:id="17" w:name="_Toc123786882"/>
      <w:r>
        <w:rPr>
          <w:rFonts w:hint="eastAsia" w:ascii="宋体" w:hAnsi="宋体" w:cs="宋体"/>
          <w:b/>
          <w:color w:val="auto"/>
          <w:sz w:val="28"/>
          <w:szCs w:val="28"/>
          <w:highlight w:val="none"/>
        </w:rPr>
        <w:t>三、法定代表人授权书</w:t>
      </w:r>
      <w:bookmarkEnd w:id="17"/>
    </w:p>
    <w:p>
      <w:pPr>
        <w:ind w:firstLine="560" w:firstLineChars="200"/>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（投标人名称）的法定代表人，</w:t>
      </w:r>
      <w:r>
        <w:rPr>
          <w:rFonts w:hint="eastAsia" w:ascii="宋体" w:hAnsi="宋体"/>
          <w:color w:val="auto"/>
          <w:kern w:val="0"/>
          <w:sz w:val="28"/>
          <w:szCs w:val="28"/>
          <w:highlight w:val="none"/>
        </w:rPr>
        <w:t>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w:t>
      </w:r>
      <w:r>
        <w:rPr>
          <w:rFonts w:hint="eastAsia" w:ascii="宋体" w:hAnsi="宋体" w:cs="宋体"/>
          <w:color w:val="auto"/>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color w:val="auto"/>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方悦立交工程土石方运输</w:t>
      </w:r>
      <w:r>
        <w:rPr>
          <w:rFonts w:hint="eastAsia" w:ascii="宋体" w:hAnsi="宋体" w:cs="宋体"/>
          <w:color w:val="auto"/>
          <w:kern w:val="0"/>
          <w:sz w:val="28"/>
          <w:szCs w:val="28"/>
          <w:highlight w:val="none"/>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代理人无转移委托权。</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特此委托。</w:t>
      </w:r>
    </w:p>
    <w:p>
      <w:pPr>
        <w:rPr>
          <w:rFonts w:ascii="宋体" w:hAnsi="宋体" w:cs="宋体"/>
          <w:color w:val="auto"/>
          <w:sz w:val="28"/>
          <w:szCs w:val="2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60288;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color w:val="auto"/>
          <w:sz w:val="28"/>
          <w:szCs w:val="28"/>
          <w:highlight w:val="none"/>
        </w:rPr>
        <w:t>附：委托代理人的身份证复印件：</w:t>
      </w: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spacing w:beforeLines="50"/>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投标人：（盖公章）</w:t>
      </w:r>
    </w:p>
    <w:p>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法定代表人：（签字</w:t>
      </w:r>
      <w:r>
        <w:rPr>
          <w:rFonts w:hint="eastAsia" w:ascii="宋体" w:hAnsi="宋体" w:cs="宋体"/>
          <w:color w:val="auto"/>
          <w:kern w:val="0"/>
          <w:sz w:val="28"/>
          <w:szCs w:val="28"/>
          <w:highlight w:val="none"/>
          <w:lang w:eastAsia="zh-CN"/>
        </w:rPr>
        <w:t>或盖章</w:t>
      </w:r>
      <w:r>
        <w:rPr>
          <w:rFonts w:hint="eastAsia" w:ascii="宋体" w:hAnsi="宋体" w:cs="宋体"/>
          <w:color w:val="auto"/>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日期：年月日</w:t>
      </w:r>
    </w:p>
    <w:p>
      <w:pPr>
        <w:rPr>
          <w:rFonts w:hint="eastAsia" w:ascii="宋体" w:hAnsi="宋体" w:cs="宋体"/>
          <w:color w:val="auto"/>
          <w:sz w:val="28"/>
          <w:szCs w:val="28"/>
          <w:highlight w:val="none"/>
        </w:rPr>
        <w:sectPr>
          <w:pgSz w:w="11906" w:h="16838"/>
          <w:pgMar w:top="1417" w:right="1485" w:bottom="1417" w:left="1202" w:header="851" w:footer="992" w:gutter="0"/>
          <w:cols w:space="0" w:num="1"/>
          <w:rtlGutter w:val="0"/>
          <w:docGrid w:type="lines" w:linePitch="318" w:charSpace="0"/>
        </w:sectPr>
      </w:pPr>
      <w:r>
        <w:rPr>
          <w:rFonts w:hint="eastAsia" w:ascii="宋体" w:hAnsi="宋体" w:cs="宋体"/>
          <w:color w:val="auto"/>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color w:val="auto"/>
          <w:sz w:val="28"/>
          <w:szCs w:val="28"/>
          <w:highlight w:val="none"/>
        </w:rPr>
      </w:pPr>
      <w:bookmarkStart w:id="18" w:name="_Toc123786886"/>
      <w:r>
        <w:rPr>
          <w:rFonts w:hint="eastAsia" w:ascii="宋体" w:hAnsi="宋体" w:cs="宋体"/>
          <w:b/>
          <w:color w:val="auto"/>
          <w:sz w:val="28"/>
          <w:szCs w:val="28"/>
          <w:highlight w:val="none"/>
        </w:rPr>
        <w:t>投标报价表</w:t>
      </w:r>
    </w:p>
    <w:p>
      <w:pPr>
        <w:widowControl/>
        <w:numPr>
          <w:ilvl w:val="-1"/>
          <w:numId w:val="0"/>
        </w:numPr>
        <w:jc w:val="right"/>
        <w:outlineLvl w:val="4"/>
        <w:rPr>
          <w:rFonts w:hint="eastAsia" w:ascii="宋体" w:hAnsi="宋体" w:cs="宋体"/>
          <w:b/>
          <w:color w:val="auto"/>
          <w:sz w:val="28"/>
          <w:szCs w:val="28"/>
          <w:highlight w:val="none"/>
        </w:rPr>
      </w:pPr>
      <w:r>
        <w:rPr>
          <w:rFonts w:hint="eastAsia" w:ascii="宋体" w:hAnsi="宋体" w:cs="宋体"/>
          <w:b/>
          <w:color w:val="auto"/>
          <w:sz w:val="24"/>
          <w:szCs w:val="24"/>
          <w:highlight w:val="none"/>
          <w:lang w:eastAsia="zh-CN"/>
        </w:rPr>
        <w:t>单位：元</w:t>
      </w:r>
    </w:p>
    <w:tbl>
      <w:tblPr>
        <w:tblStyle w:val="7"/>
        <w:tblW w:w="12842" w:type="dxa"/>
        <w:jc w:val="center"/>
        <w:shd w:val="clear" w:color="auto" w:fill="auto"/>
        <w:tblLayout w:type="fixed"/>
        <w:tblCellMar>
          <w:top w:w="0" w:type="dxa"/>
          <w:left w:w="0" w:type="dxa"/>
          <w:bottom w:w="0" w:type="dxa"/>
          <w:right w:w="0" w:type="dxa"/>
        </w:tblCellMar>
      </w:tblPr>
      <w:tblGrid>
        <w:gridCol w:w="639"/>
        <w:gridCol w:w="1620"/>
        <w:gridCol w:w="2115"/>
        <w:gridCol w:w="585"/>
        <w:gridCol w:w="885"/>
        <w:gridCol w:w="1306"/>
        <w:gridCol w:w="1200"/>
        <w:gridCol w:w="2039"/>
        <w:gridCol w:w="1260"/>
        <w:gridCol w:w="1193"/>
      </w:tblGrid>
      <w:tr>
        <w:tblPrEx>
          <w:shd w:val="clear" w:color="auto" w:fill="auto"/>
          <w:tblCellMar>
            <w:top w:w="0" w:type="dxa"/>
            <w:left w:w="0" w:type="dxa"/>
            <w:bottom w:w="0" w:type="dxa"/>
            <w:right w:w="0" w:type="dxa"/>
          </w:tblCellMar>
        </w:tblPrEx>
        <w:trPr>
          <w:trHeight w:val="355"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材料名称</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规格型号</w:t>
            </w:r>
          </w:p>
        </w:tc>
        <w:tc>
          <w:tcPr>
            <w:tcW w:w="5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计量  单位</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暂定</w:t>
            </w:r>
          </w:p>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数量</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限价（含税）</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报价（含税）</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备注</w:t>
            </w:r>
          </w:p>
        </w:tc>
      </w:tr>
      <w:tr>
        <w:tblPrEx>
          <w:tblCellMar>
            <w:top w:w="0" w:type="dxa"/>
            <w:left w:w="0" w:type="dxa"/>
            <w:bottom w:w="0" w:type="dxa"/>
            <w:right w:w="0" w:type="dxa"/>
          </w:tblCellMar>
        </w:tblPrEx>
        <w:trPr>
          <w:trHeight w:val="385"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5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合价（元）</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合价（元）</w:t>
            </w: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504"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微软雅黑" w:hAnsi="微软雅黑" w:eastAsia="微软雅黑" w:cs="微软雅黑"/>
                <w:i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土石方运输</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场内运输</w:t>
            </w:r>
            <w:r>
              <w:rPr>
                <w:rFonts w:hint="default" w:ascii="Times New Roman" w:hAnsi="Times New Roman" w:eastAsia="宋体" w:cs="Times New Roman"/>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自卸汽车</w:t>
            </w:r>
            <w:r>
              <w:rPr>
                <w:rFonts w:hint="default" w:ascii="Times New Roman" w:hAnsi="Times New Roman" w:eastAsia="宋体" w:cs="Times New Roman"/>
                <w:i w:val="0"/>
                <w:color w:val="auto"/>
                <w:kern w:val="0"/>
                <w:sz w:val="21"/>
                <w:szCs w:val="21"/>
                <w:u w:val="none"/>
                <w:lang w:val="en-US" w:eastAsia="zh-CN" w:bidi="ar"/>
              </w:rPr>
              <w:t>20m3</w:t>
            </w:r>
            <w:r>
              <w:rPr>
                <w:rFonts w:hint="eastAsia" w:ascii="宋体" w:hAnsi="宋体" w:eastAsia="宋体" w:cs="宋体"/>
                <w:i w:val="0"/>
                <w:color w:val="auto"/>
                <w:kern w:val="0"/>
                <w:sz w:val="21"/>
                <w:szCs w:val="21"/>
                <w:u w:val="none"/>
                <w:lang w:val="en-US" w:eastAsia="zh-CN" w:bidi="ar"/>
              </w:rPr>
              <w:t>，运距：综合考虑</w:t>
            </w:r>
            <w:r>
              <w:rPr>
                <w:rFonts w:hint="default" w:ascii="Times New Roman" w:hAnsi="Times New Roman" w:eastAsia="宋体" w:cs="Times New Roman"/>
                <w:i w:val="0"/>
                <w:color w:val="auto"/>
                <w:kern w:val="0"/>
                <w:sz w:val="21"/>
                <w:szCs w:val="21"/>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2350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u w:val="none"/>
                <w:lang w:val="en-US" w:eastAsia="zh-CN" w:bidi="ar"/>
              </w:rPr>
            </w:pPr>
            <w:r>
              <w:rPr>
                <w:rFonts w:hint="eastAsia" w:ascii="宋体" w:hAnsi="宋体" w:eastAsia="宋体" w:cs="宋体"/>
                <w:i w:val="0"/>
                <w:color w:val="auto"/>
                <w:kern w:val="0"/>
                <w:sz w:val="22"/>
                <w:szCs w:val="22"/>
                <w:u w:val="none"/>
                <w:lang w:val="en-US" w:eastAsia="zh-CN" w:bidi="ar"/>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159800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宋体" w:hAnsi="宋体" w:cs="宋体"/>
                <w:color w:val="auto"/>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auto"/>
                <w:sz w:val="18"/>
                <w:szCs w:val="18"/>
                <w:highlight w:val="none"/>
              </w:rPr>
            </w:pPr>
          </w:p>
        </w:tc>
        <w:tc>
          <w:tcPr>
            <w:tcW w:w="11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auto"/>
                <w:sz w:val="18"/>
                <w:szCs w:val="18"/>
                <w:highlight w:val="none"/>
                <w:lang w:val="en-US" w:eastAsia="zh-CN"/>
              </w:rPr>
            </w:pPr>
          </w:p>
        </w:tc>
      </w:tr>
      <w:tr>
        <w:tblPrEx>
          <w:tblCellMar>
            <w:top w:w="0" w:type="dxa"/>
            <w:left w:w="0" w:type="dxa"/>
            <w:bottom w:w="0" w:type="dxa"/>
            <w:right w:w="0" w:type="dxa"/>
          </w:tblCellMar>
        </w:tblPrEx>
        <w:trPr>
          <w:trHeight w:val="432"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土石方运输</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场外运输</w:t>
            </w:r>
            <w:r>
              <w:rPr>
                <w:rFonts w:hint="default" w:ascii="Times New Roman" w:hAnsi="Times New Roman" w:eastAsia="宋体" w:cs="Times New Roman"/>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自卸汽车</w:t>
            </w:r>
            <w:r>
              <w:rPr>
                <w:rFonts w:hint="default" w:ascii="Times New Roman" w:hAnsi="Times New Roman" w:eastAsia="宋体" w:cs="Times New Roman"/>
                <w:i w:val="0"/>
                <w:color w:val="auto"/>
                <w:kern w:val="0"/>
                <w:sz w:val="21"/>
                <w:szCs w:val="21"/>
                <w:u w:val="none"/>
                <w:lang w:val="en-US" w:eastAsia="zh-CN" w:bidi="ar"/>
              </w:rPr>
              <w:t>20m3</w:t>
            </w:r>
            <w:r>
              <w:rPr>
                <w:rFonts w:hint="eastAsia" w:ascii="宋体" w:hAnsi="宋体" w:eastAsia="宋体" w:cs="宋体"/>
                <w:i w:val="0"/>
                <w:color w:val="auto"/>
                <w:kern w:val="0"/>
                <w:sz w:val="21"/>
                <w:szCs w:val="21"/>
                <w:u w:val="none"/>
                <w:lang w:val="en-US" w:eastAsia="zh-CN" w:bidi="ar"/>
              </w:rPr>
              <w:t>，运距：4.15KM</w:t>
            </w:r>
            <w:r>
              <w:rPr>
                <w:rFonts w:hint="default" w:ascii="Times New Roman" w:hAnsi="Times New Roman" w:eastAsia="宋体" w:cs="Times New Roman"/>
                <w:i w:val="0"/>
                <w:color w:val="auto"/>
                <w:kern w:val="0"/>
                <w:sz w:val="21"/>
                <w:szCs w:val="21"/>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6200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u w:val="none"/>
                <w:lang w:val="en-US" w:eastAsia="zh-CN" w:bidi="ar"/>
              </w:rPr>
            </w:pPr>
            <w:r>
              <w:rPr>
                <w:rFonts w:hint="eastAsia" w:ascii="宋体" w:hAnsi="宋体" w:eastAsia="宋体" w:cs="宋体"/>
                <w:i w:val="0"/>
                <w:color w:val="auto"/>
                <w:kern w:val="0"/>
                <w:sz w:val="22"/>
                <w:szCs w:val="22"/>
                <w:u w:val="none"/>
                <w:lang w:val="en-US" w:eastAsia="zh-CN" w:bidi="ar"/>
              </w:rPr>
              <w:t>185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1147000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auto"/>
                <w:sz w:val="18"/>
                <w:szCs w:val="18"/>
                <w:highlight w:val="none"/>
              </w:rPr>
            </w:pPr>
          </w:p>
        </w:tc>
        <w:tc>
          <w:tcPr>
            <w:tcW w:w="11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300" w:lineRule="exact"/>
              <w:jc w:val="center"/>
              <w:rPr>
                <w:rFonts w:hint="default" w:ascii="宋体" w:hAnsi="宋体" w:eastAsia="宋体" w:cs="宋体"/>
                <w:color w:val="auto"/>
                <w:sz w:val="18"/>
                <w:szCs w:val="18"/>
                <w:highlight w:val="none"/>
                <w:lang w:val="en-US" w:eastAsia="zh-CN"/>
              </w:rPr>
            </w:pPr>
          </w:p>
        </w:tc>
      </w:tr>
      <w:tr>
        <w:tblPrEx>
          <w:tblCellMar>
            <w:top w:w="0" w:type="dxa"/>
            <w:left w:w="0" w:type="dxa"/>
            <w:bottom w:w="0" w:type="dxa"/>
            <w:right w:w="0" w:type="dxa"/>
          </w:tblCellMar>
        </w:tblPrEx>
        <w:trPr>
          <w:trHeight w:val="435" w:hRule="atLeast"/>
          <w:jc w:val="center"/>
        </w:trPr>
        <w:tc>
          <w:tcPr>
            <w:tcW w:w="5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合计（元）</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400" w:firstLineChars="200"/>
              <w:jc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color w:val="auto"/>
                <w:kern w:val="0"/>
                <w:sz w:val="20"/>
                <w:szCs w:val="20"/>
                <w:u w:val="none"/>
                <w:lang w:val="en-US" w:eastAsia="zh-CN" w:bidi="ar"/>
              </w:rPr>
              <w:t>1306800</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color w:val="auto"/>
                <w:kern w:val="2"/>
                <w:sz w:val="18"/>
                <w:szCs w:val="18"/>
                <w:lang w:val="en-US" w:eastAsia="zh-CN" w:bidi="ar-SA"/>
              </w:rPr>
            </w:pPr>
          </w:p>
        </w:tc>
      </w:tr>
    </w:tbl>
    <w:p>
      <w:pPr>
        <w:widowControl/>
        <w:numPr>
          <w:ilvl w:val="0"/>
          <w:numId w:val="0"/>
        </w:numPr>
        <w:snapToGrid w:val="0"/>
        <w:ind w:left="0" w:firstLine="0" w:firstLineChars="0"/>
        <w:jc w:val="left"/>
        <w:textAlignment w:val="auto"/>
        <w:outlineLvl w:val="9"/>
        <w:rPr>
          <w:rFonts w:hint="eastAsia" w:ascii="宋体" w:hAnsi="宋体" w:cs="宋体"/>
          <w:color w:val="auto"/>
          <w:kern w:val="0"/>
          <w:sz w:val="21"/>
          <w:szCs w:val="21"/>
          <w:u w:val="none"/>
          <w:lang w:val="en-US" w:eastAsia="zh-CN" w:bidi="ar"/>
        </w:rPr>
      </w:pPr>
      <w:r>
        <w:rPr>
          <w:rFonts w:hint="eastAsia" w:ascii="宋体" w:hAnsi="宋体" w:cs="宋体"/>
          <w:color w:val="auto"/>
          <w:kern w:val="0"/>
          <w:sz w:val="21"/>
          <w:szCs w:val="21"/>
          <w:highlight w:val="none"/>
          <w:u w:val="none"/>
          <w:lang w:bidi="ar"/>
        </w:rPr>
        <w:t>备注</w:t>
      </w:r>
      <w:r>
        <w:rPr>
          <w:rFonts w:hint="eastAsia" w:ascii="宋体" w:hAnsi="宋体" w:cs="宋体"/>
          <w:color w:val="auto"/>
          <w:kern w:val="0"/>
          <w:sz w:val="21"/>
          <w:szCs w:val="21"/>
          <w:highlight w:val="none"/>
          <w:u w:val="none"/>
          <w:lang w:eastAsia="zh-CN" w:bidi="ar"/>
        </w:rPr>
        <w:t>：</w:t>
      </w:r>
      <w:r>
        <w:rPr>
          <w:rFonts w:hint="eastAsia" w:ascii="宋体" w:hAnsi="宋体" w:cs="宋体"/>
          <w:color w:val="auto"/>
          <w:kern w:val="0"/>
          <w:sz w:val="21"/>
          <w:szCs w:val="21"/>
          <w:u w:val="none"/>
          <w:lang w:val="en-US" w:eastAsia="zh-CN" w:bidi="ar"/>
        </w:rPr>
        <w:t>1、以上单</w:t>
      </w:r>
      <w:r>
        <w:rPr>
          <w:rFonts w:hint="eastAsia" w:ascii="宋体" w:hAnsi="宋体" w:eastAsia="宋体" w:cs="宋体"/>
          <w:color w:val="auto"/>
          <w:kern w:val="0"/>
          <w:sz w:val="21"/>
          <w:szCs w:val="21"/>
          <w:u w:val="none"/>
          <w:lang w:val="en-US" w:eastAsia="zh-CN" w:bidi="ar"/>
        </w:rPr>
        <w:t>价包含：</w:t>
      </w:r>
      <w:r>
        <w:rPr>
          <w:rFonts w:hint="eastAsia" w:ascii="宋体" w:hAnsi="宋体" w:eastAsia="宋体" w:cs="宋体"/>
          <w:color w:val="auto"/>
          <w:kern w:val="0"/>
          <w:sz w:val="21"/>
          <w:szCs w:val="21"/>
          <w:u w:val="none"/>
          <w:lang w:bidi="ar"/>
        </w:rPr>
        <w:t>将本工程土石方运至乙方指定渣场发生的所有费用（包含但不限于：租赁费、密闭运输费、机械损耗、折旧大修费、操作人员工资、食宿费、燃油费、辅助油料费、维修费、外运手续办理、外运处理费用，税金（9%）等</w:t>
      </w:r>
      <w:r>
        <w:rPr>
          <w:rFonts w:hint="eastAsia" w:ascii="宋体" w:hAnsi="宋体" w:cs="宋体"/>
          <w:i w:val="0"/>
          <w:color w:val="auto"/>
          <w:kern w:val="0"/>
          <w:sz w:val="21"/>
          <w:szCs w:val="21"/>
          <w:u w:val="none"/>
          <w:lang w:val="en-US" w:eastAsia="zh-CN" w:bidi="ar"/>
        </w:rPr>
        <w:t>。</w:t>
      </w:r>
    </w:p>
    <w:p>
      <w:pPr>
        <w:tabs>
          <w:tab w:val="left" w:pos="9620"/>
        </w:tabs>
        <w:spacing w:line="440" w:lineRule="exact"/>
        <w:ind w:firstLine="630" w:firstLineChars="300"/>
        <w:rPr>
          <w:rFonts w:hint="eastAsia" w:ascii="宋体" w:hAnsi="宋体" w:eastAsia="宋体" w:cs="宋体"/>
          <w:color w:val="auto"/>
          <w:kern w:val="0"/>
          <w:sz w:val="18"/>
          <w:szCs w:val="18"/>
          <w:highlight w:val="none"/>
          <w:u w:val="none"/>
          <w:lang w:val="en-US" w:eastAsia="zh-CN" w:bidi="ar"/>
        </w:rPr>
      </w:pPr>
      <w:r>
        <w:rPr>
          <w:rFonts w:hint="eastAsia" w:ascii="宋体" w:hAnsi="宋体" w:cs="宋体"/>
          <w:color w:val="auto"/>
          <w:kern w:val="0"/>
          <w:sz w:val="21"/>
          <w:szCs w:val="21"/>
          <w:u w:val="none"/>
          <w:lang w:val="en-US" w:eastAsia="zh-CN" w:bidi="ar"/>
        </w:rPr>
        <w:t xml:space="preserve"> 2、土石方场外运输弃土点为悦复大道北延伸段指定的渣场。</w:t>
      </w:r>
    </w:p>
    <w:p>
      <w:pPr>
        <w:spacing w:beforeLines="0" w:afterLines="0" w:line="360" w:lineRule="auto"/>
        <w:jc w:val="right"/>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spacing w:beforeLines="0" w:afterLines="0" w:line="360" w:lineRule="auto"/>
        <w:jc w:val="right"/>
        <w:rPr>
          <w:rFonts w:hint="eastAsia" w:ascii="Times New Roman" w:hAnsi="Times New Roman" w:cs="宋体"/>
          <w:color w:val="auto"/>
          <w:sz w:val="24"/>
          <w:szCs w:val="24"/>
          <w:highlight w:val="none"/>
          <w:lang w:val="en-US" w:eastAsia="zh-CN"/>
        </w:rPr>
      </w:pP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jc w:val="right"/>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jc w:val="right"/>
        <w:rPr>
          <w:rFonts w:hint="eastAsia" w:ascii="Times New Roman" w:hAnsi="Times New Roman" w:eastAsia="宋体" w:cs="宋体"/>
          <w:color w:val="auto"/>
          <w:sz w:val="28"/>
          <w:szCs w:val="28"/>
          <w:highlight w:val="none"/>
        </w:rPr>
        <w:sectPr>
          <w:pgSz w:w="16838" w:h="11906" w:orient="landscape"/>
          <w:pgMar w:top="1202" w:right="1417" w:bottom="1485" w:left="1417" w:header="851" w:footer="992" w:gutter="0"/>
          <w:cols w:space="0" w:num="1"/>
          <w:rtlGutter w:val="0"/>
          <w:docGrid w:type="lines" w:linePitch="329"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color w:val="auto"/>
          <w:sz w:val="28"/>
          <w:szCs w:val="28"/>
          <w:highlight w:val="none"/>
        </w:rPr>
      </w:pPr>
      <w:r>
        <w:rPr>
          <w:rFonts w:hint="eastAsia" w:ascii="宋体" w:hAnsi="宋体" w:cs="宋体"/>
          <w:b/>
          <w:color w:val="auto"/>
          <w:sz w:val="28"/>
          <w:szCs w:val="28"/>
          <w:highlight w:val="none"/>
        </w:rPr>
        <w:t>投标文件袋封面格式</w:t>
      </w:r>
    </w:p>
    <w:p>
      <w:pPr>
        <w:rPr>
          <w:b/>
          <w:color w:val="auto"/>
          <w:sz w:val="30"/>
          <w:szCs w:val="30"/>
          <w:highlight w:val="none"/>
        </w:rPr>
      </w:pPr>
    </w:p>
    <w:p>
      <w:pPr>
        <w:spacing w:line="560" w:lineRule="exact"/>
        <w:jc w:val="center"/>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u w:val="single"/>
          <w:lang w:val="en-US" w:eastAsia="zh-CN"/>
        </w:rPr>
        <w:t>方悦立交工程土石方运输</w:t>
      </w:r>
    </w:p>
    <w:p>
      <w:pPr>
        <w:spacing w:line="560" w:lineRule="exact"/>
        <w:jc w:val="center"/>
        <w:rPr>
          <w:rFonts w:hint="eastAsia" w:ascii="黑体" w:hAnsi="黑体" w:eastAsia="黑体" w:cs="黑体"/>
          <w:b w:val="0"/>
          <w:bCs w:val="0"/>
          <w:color w:val="auto"/>
          <w:sz w:val="36"/>
          <w:szCs w:val="36"/>
          <w:u w:val="single"/>
          <w:lang w:val="en-US" w:eastAsia="zh-CN"/>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rPr>
          <w:b/>
          <w:color w:val="auto"/>
          <w:sz w:val="72"/>
          <w:szCs w:val="72"/>
          <w:highlight w:val="none"/>
        </w:rPr>
      </w:pPr>
      <w:r>
        <w:rPr>
          <w:rFonts w:hint="eastAsia" w:cs="宋体"/>
          <w:b/>
          <w:color w:val="auto"/>
          <w:sz w:val="72"/>
          <w:szCs w:val="72"/>
          <w:highlight w:val="none"/>
        </w:rPr>
        <w:t>企业内部招采</w:t>
      </w:r>
    </w:p>
    <w:p>
      <w:pPr>
        <w:jc w:val="center"/>
        <w:rPr>
          <w:b/>
          <w:color w:val="auto"/>
          <w:sz w:val="120"/>
          <w:szCs w:val="120"/>
          <w:highlight w:val="none"/>
        </w:rPr>
      </w:pPr>
      <w:r>
        <w:rPr>
          <w:rFonts w:hint="eastAsia"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rPr>
          <w:color w:val="auto"/>
        </w:rPr>
      </w:pPr>
    </w:p>
    <w:sectPr>
      <w:pgSz w:w="11906" w:h="16838"/>
      <w:pgMar w:top="1417" w:right="1485" w:bottom="1417" w:left="1202"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01289"/>
    <w:multiLevelType w:val="singleLevel"/>
    <w:tmpl w:val="99B01289"/>
    <w:lvl w:ilvl="0" w:tentative="0">
      <w:start w:val="5"/>
      <w:numFmt w:val="chineseCounting"/>
      <w:suff w:val="space"/>
      <w:lvlText w:val="第%1部分"/>
      <w:lvlJc w:val="left"/>
      <w:pPr>
        <w:ind w:left="2520" w:leftChars="0" w:firstLine="0" w:firstLineChars="0"/>
      </w:pPr>
      <w:rPr>
        <w:rFonts w:hint="eastAsia"/>
      </w:rPr>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7D0253"/>
    <w:rsid w:val="0133728B"/>
    <w:rsid w:val="01346DE3"/>
    <w:rsid w:val="01AC671B"/>
    <w:rsid w:val="01AF1015"/>
    <w:rsid w:val="026323B2"/>
    <w:rsid w:val="02A02F8E"/>
    <w:rsid w:val="033A42DF"/>
    <w:rsid w:val="035F39EF"/>
    <w:rsid w:val="04E45D6F"/>
    <w:rsid w:val="05D727E1"/>
    <w:rsid w:val="05ED76BC"/>
    <w:rsid w:val="06EC62F1"/>
    <w:rsid w:val="06F415C5"/>
    <w:rsid w:val="07D20A0C"/>
    <w:rsid w:val="07E83EAE"/>
    <w:rsid w:val="08B6559B"/>
    <w:rsid w:val="096769E0"/>
    <w:rsid w:val="0A2A123B"/>
    <w:rsid w:val="0B565715"/>
    <w:rsid w:val="0B8A1F2D"/>
    <w:rsid w:val="0C705A8B"/>
    <w:rsid w:val="0D6A33B0"/>
    <w:rsid w:val="0E5662BF"/>
    <w:rsid w:val="0E7645F3"/>
    <w:rsid w:val="0E901DCC"/>
    <w:rsid w:val="132403DB"/>
    <w:rsid w:val="148A0F7E"/>
    <w:rsid w:val="15222956"/>
    <w:rsid w:val="161F06D9"/>
    <w:rsid w:val="168858F0"/>
    <w:rsid w:val="16914763"/>
    <w:rsid w:val="16B909E0"/>
    <w:rsid w:val="16E36BA3"/>
    <w:rsid w:val="175F2E4F"/>
    <w:rsid w:val="17BF1816"/>
    <w:rsid w:val="18326A86"/>
    <w:rsid w:val="18432348"/>
    <w:rsid w:val="188B6E01"/>
    <w:rsid w:val="19B90694"/>
    <w:rsid w:val="1A5A4DA5"/>
    <w:rsid w:val="1AFC7D9F"/>
    <w:rsid w:val="1B6963F4"/>
    <w:rsid w:val="1B7048A9"/>
    <w:rsid w:val="1D153C72"/>
    <w:rsid w:val="1D233881"/>
    <w:rsid w:val="1DBA0EFE"/>
    <w:rsid w:val="1F087181"/>
    <w:rsid w:val="1F2C2479"/>
    <w:rsid w:val="20A52C19"/>
    <w:rsid w:val="20B238FC"/>
    <w:rsid w:val="2361365E"/>
    <w:rsid w:val="23DA6521"/>
    <w:rsid w:val="24970503"/>
    <w:rsid w:val="251B3275"/>
    <w:rsid w:val="25561B8B"/>
    <w:rsid w:val="25BB3505"/>
    <w:rsid w:val="25DC4DEC"/>
    <w:rsid w:val="26A56964"/>
    <w:rsid w:val="274A1313"/>
    <w:rsid w:val="29C31F1D"/>
    <w:rsid w:val="2A7971A4"/>
    <w:rsid w:val="2B88453B"/>
    <w:rsid w:val="2BD471AF"/>
    <w:rsid w:val="2C5540F4"/>
    <w:rsid w:val="2C8A5B85"/>
    <w:rsid w:val="2D486AAF"/>
    <w:rsid w:val="2D8054DC"/>
    <w:rsid w:val="2D8911D3"/>
    <w:rsid w:val="2E196CBD"/>
    <w:rsid w:val="2EB10DDB"/>
    <w:rsid w:val="2F2B24DE"/>
    <w:rsid w:val="31736CF8"/>
    <w:rsid w:val="32942016"/>
    <w:rsid w:val="33E65199"/>
    <w:rsid w:val="33FD05F3"/>
    <w:rsid w:val="34A6464A"/>
    <w:rsid w:val="35D14038"/>
    <w:rsid w:val="35DD678D"/>
    <w:rsid w:val="35ED2F2F"/>
    <w:rsid w:val="36164EAC"/>
    <w:rsid w:val="36BC660E"/>
    <w:rsid w:val="38427979"/>
    <w:rsid w:val="38613F10"/>
    <w:rsid w:val="3873759A"/>
    <w:rsid w:val="3A665FEF"/>
    <w:rsid w:val="3A9F66D9"/>
    <w:rsid w:val="3AA96638"/>
    <w:rsid w:val="3C473407"/>
    <w:rsid w:val="3CB958BD"/>
    <w:rsid w:val="3D643044"/>
    <w:rsid w:val="3D692543"/>
    <w:rsid w:val="3E6E7DD1"/>
    <w:rsid w:val="3EA65D42"/>
    <w:rsid w:val="3FE404AA"/>
    <w:rsid w:val="400F1345"/>
    <w:rsid w:val="40137F99"/>
    <w:rsid w:val="406E557E"/>
    <w:rsid w:val="40B64553"/>
    <w:rsid w:val="40FE56A0"/>
    <w:rsid w:val="41DE2D42"/>
    <w:rsid w:val="42834A1B"/>
    <w:rsid w:val="429064AE"/>
    <w:rsid w:val="451963C1"/>
    <w:rsid w:val="45C006AD"/>
    <w:rsid w:val="45ED35C5"/>
    <w:rsid w:val="4658539B"/>
    <w:rsid w:val="46F906D7"/>
    <w:rsid w:val="477729F0"/>
    <w:rsid w:val="47D6661B"/>
    <w:rsid w:val="47E853DA"/>
    <w:rsid w:val="48A22CEF"/>
    <w:rsid w:val="495E7E2E"/>
    <w:rsid w:val="49750877"/>
    <w:rsid w:val="4A2A2F39"/>
    <w:rsid w:val="4A47070A"/>
    <w:rsid w:val="4AB70B0A"/>
    <w:rsid w:val="4ABB2297"/>
    <w:rsid w:val="4AF661DF"/>
    <w:rsid w:val="4BDC4DAF"/>
    <w:rsid w:val="4BF30842"/>
    <w:rsid w:val="4BF361D2"/>
    <w:rsid w:val="4C164DD9"/>
    <w:rsid w:val="4CBC0BB2"/>
    <w:rsid w:val="4D3C4C0F"/>
    <w:rsid w:val="4D6E76C7"/>
    <w:rsid w:val="4D716DBF"/>
    <w:rsid w:val="4DA24FFC"/>
    <w:rsid w:val="4DED1E1A"/>
    <w:rsid w:val="4EB268D1"/>
    <w:rsid w:val="4F7B003C"/>
    <w:rsid w:val="50F37175"/>
    <w:rsid w:val="5215792E"/>
    <w:rsid w:val="530D7F69"/>
    <w:rsid w:val="53FA7B20"/>
    <w:rsid w:val="55696984"/>
    <w:rsid w:val="55A13C68"/>
    <w:rsid w:val="56034CED"/>
    <w:rsid w:val="56055FFD"/>
    <w:rsid w:val="59112584"/>
    <w:rsid w:val="59C161BC"/>
    <w:rsid w:val="5A282677"/>
    <w:rsid w:val="5B907232"/>
    <w:rsid w:val="5BB97FDF"/>
    <w:rsid w:val="5CC6239E"/>
    <w:rsid w:val="5DAD243B"/>
    <w:rsid w:val="5E542089"/>
    <w:rsid w:val="60036B4B"/>
    <w:rsid w:val="61501486"/>
    <w:rsid w:val="62285051"/>
    <w:rsid w:val="62321AE6"/>
    <w:rsid w:val="63954CA8"/>
    <w:rsid w:val="64213422"/>
    <w:rsid w:val="64970F34"/>
    <w:rsid w:val="654C2D51"/>
    <w:rsid w:val="65A516E9"/>
    <w:rsid w:val="66420489"/>
    <w:rsid w:val="669907DD"/>
    <w:rsid w:val="676163E5"/>
    <w:rsid w:val="678D6830"/>
    <w:rsid w:val="680B56B1"/>
    <w:rsid w:val="686B50D9"/>
    <w:rsid w:val="687C383C"/>
    <w:rsid w:val="68C24E3B"/>
    <w:rsid w:val="69FD3455"/>
    <w:rsid w:val="6A163718"/>
    <w:rsid w:val="6B6A7360"/>
    <w:rsid w:val="6B8232B8"/>
    <w:rsid w:val="6BBB60B6"/>
    <w:rsid w:val="6D39526E"/>
    <w:rsid w:val="6D7E485B"/>
    <w:rsid w:val="6E4614E6"/>
    <w:rsid w:val="6E980C44"/>
    <w:rsid w:val="6F35522F"/>
    <w:rsid w:val="6F7856C4"/>
    <w:rsid w:val="6F905D6A"/>
    <w:rsid w:val="6FCF7CA2"/>
    <w:rsid w:val="701075C6"/>
    <w:rsid w:val="7030663A"/>
    <w:rsid w:val="7031238B"/>
    <w:rsid w:val="70395B9D"/>
    <w:rsid w:val="707E4DA8"/>
    <w:rsid w:val="709E1FAD"/>
    <w:rsid w:val="72615ABB"/>
    <w:rsid w:val="72E513D0"/>
    <w:rsid w:val="73E26987"/>
    <w:rsid w:val="73EA1E5C"/>
    <w:rsid w:val="74FA20D2"/>
    <w:rsid w:val="75F065BC"/>
    <w:rsid w:val="76005D96"/>
    <w:rsid w:val="7662705C"/>
    <w:rsid w:val="76B42D88"/>
    <w:rsid w:val="77184213"/>
    <w:rsid w:val="78427269"/>
    <w:rsid w:val="789163ED"/>
    <w:rsid w:val="79AB1AD9"/>
    <w:rsid w:val="79AC617A"/>
    <w:rsid w:val="7A186D34"/>
    <w:rsid w:val="7AE23E52"/>
    <w:rsid w:val="7B843220"/>
    <w:rsid w:val="7C376A98"/>
    <w:rsid w:val="7C3F03E7"/>
    <w:rsid w:val="7C8018B9"/>
    <w:rsid w:val="7D023FBD"/>
    <w:rsid w:val="7D155BE7"/>
    <w:rsid w:val="7DC96551"/>
    <w:rsid w:val="7E4B78F2"/>
    <w:rsid w:val="7EDD0F5F"/>
    <w:rsid w:val="7FD25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unhideWhenUsed/>
    <w:qFormat/>
    <w:uiPriority w:val="0"/>
    <w:pPr>
      <w:autoSpaceDE w:val="0"/>
      <w:autoSpaceDN w:val="0"/>
      <w:adjustRightInd w:val="0"/>
      <w:spacing w:before="16"/>
      <w:jc w:val="left"/>
      <w:outlineLvl w:val="2"/>
    </w:pPr>
    <w:rPr>
      <w:rFonts w:ascii="仿宋_GB2312" w:hAnsi="Arial" w:eastAsia="仿宋_GB2312" w:cs="MingLiU"/>
      <w:b/>
      <w:kern w:val="0"/>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61"/>
    <w:basedOn w:val="8"/>
    <w:qFormat/>
    <w:uiPriority w:val="0"/>
    <w:rPr>
      <w:rFonts w:hint="eastAsia" w:ascii="宋体" w:hAnsi="宋体" w:eastAsia="宋体" w:cs="宋体"/>
      <w:color w:val="000000"/>
      <w:sz w:val="24"/>
      <w:szCs w:val="24"/>
      <w:u w:val="non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21"/>
    <w:basedOn w:val="8"/>
    <w:qFormat/>
    <w:uiPriority w:val="0"/>
    <w:rPr>
      <w:rFonts w:hint="default" w:ascii="Times New Roman" w:hAnsi="Times New Roman" w:cs="Times New Roman"/>
      <w:color w:val="000000"/>
      <w:sz w:val="21"/>
      <w:szCs w:val="21"/>
      <w:u w:val="none"/>
    </w:rPr>
  </w:style>
  <w:style w:type="character" w:customStyle="1" w:styleId="13">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2021-03-12T01:53:09Z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