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lang w:eastAsia="zh-CN"/>
        </w:rPr>
        <w:t>忠县至石宝沿江旅游公路一期工程（G348县城至牟家山段）爆破作业</w:t>
      </w:r>
      <w:r>
        <w:rPr>
          <w:rFonts w:hint="eastAsia" w:ascii="黑体" w:hAnsi="宋体" w:eastAsia="黑体"/>
          <w:b/>
          <w:sz w:val="44"/>
          <w:szCs w:val="44"/>
          <w:highlight w:val="none"/>
          <w:lang w:val="en-US" w:eastAsia="zh-CN"/>
        </w:rPr>
        <w:t>专业分包（第二次）</w:t>
      </w:r>
    </w:p>
    <w:p>
      <w:pPr>
        <w:tabs>
          <w:tab w:val="left" w:pos="670"/>
          <w:tab w:val="center" w:pos="4252"/>
        </w:tabs>
        <w:spacing w:line="360" w:lineRule="auto"/>
        <w:jc w:val="center"/>
        <w:rPr>
          <w:rFonts w:ascii="宋体" w:hAnsi="宋体" w:eastAsia="宋体" w:cs="宋体"/>
          <w:i/>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招采文件编号：2021-01-</w:t>
      </w:r>
      <w:r>
        <w:rPr>
          <w:rFonts w:hint="eastAsia" w:ascii="宋体" w:hAnsi="宋体" w:eastAsia="宋体" w:cs="宋体"/>
          <w:sz w:val="28"/>
          <w:szCs w:val="22"/>
          <w:highlight w:val="none"/>
          <w:lang w:val="en-US" w:eastAsia="zh-CN"/>
        </w:rPr>
        <w:t>1006</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ind w:firstLine="560" w:firstLineChars="200"/>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sz w:val="28"/>
          <w:szCs w:val="22"/>
          <w:highlight w:val="none"/>
          <w:u w:val="single"/>
          <w:lang w:eastAsia="zh-CN"/>
        </w:rPr>
        <w:t>忠县至石宝沿江旅游公路一期工程（G348县城至牟家山段）爆破作业</w:t>
      </w:r>
      <w:r>
        <w:rPr>
          <w:rFonts w:hint="eastAsia" w:ascii="宋体" w:hAnsi="宋体" w:cs="宋体"/>
          <w:sz w:val="28"/>
          <w:highlight w:val="none"/>
          <w:u w:val="single"/>
          <w:lang w:val="en-US" w:eastAsia="zh-CN"/>
        </w:rPr>
        <w:t>专业分包（第二次）</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sz w:val="28"/>
          <w:szCs w:val="22"/>
          <w:highlight w:val="none"/>
          <w:u w:val="single"/>
          <w:lang w:eastAsia="zh-CN"/>
        </w:rPr>
        <w:t>忠县至石宝沿江旅游公路一期工程（G348县城至牟家山段）爆破作业</w:t>
      </w:r>
      <w:r>
        <w:rPr>
          <w:rFonts w:hint="eastAsia" w:ascii="宋体" w:hAnsi="宋体" w:cs="宋体"/>
          <w:sz w:val="28"/>
          <w:highlight w:val="none"/>
          <w:u w:val="single"/>
          <w:lang w:val="en-US" w:eastAsia="zh-CN"/>
        </w:rPr>
        <w:t>专业分包。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sz w:val="28"/>
          <w:szCs w:val="22"/>
          <w:highlight w:val="none"/>
        </w:rPr>
        <w:t>2021-01-</w:t>
      </w:r>
      <w:r>
        <w:rPr>
          <w:rFonts w:hint="eastAsia" w:ascii="宋体" w:hAnsi="宋体" w:eastAsia="宋体" w:cs="宋体"/>
          <w:sz w:val="28"/>
          <w:szCs w:val="22"/>
          <w:highlight w:val="none"/>
          <w:lang w:val="en-US" w:eastAsia="zh-CN"/>
        </w:rPr>
        <w:t>1006</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eastAsia="宋体" w:cs="宋体"/>
          <w:sz w:val="28"/>
          <w:szCs w:val="22"/>
          <w:highlight w:val="none"/>
          <w:u w:val="single"/>
          <w:lang w:eastAsia="zh-CN"/>
        </w:rPr>
        <w:t>忠县忠州街道、涂井乡</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；具有公安部管理部门批准的爆破作业单位许可证（营业性）四级及以上资质；</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4</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4</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忠县至石宝沿江旅游公路一期工程（G348县城至牟家山段）爆破作业</w:t>
            </w:r>
            <w:r>
              <w:rPr>
                <w:rFonts w:hint="eastAsia" w:ascii="宋体" w:hAnsi="宋体" w:eastAsia="宋体" w:cs="宋体"/>
                <w:sz w:val="24"/>
                <w:highlight w:val="none"/>
                <w:lang w:val="en-US" w:eastAsia="zh-CN"/>
              </w:rPr>
              <w:t>专业分包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default" w:eastAsiaTheme="minorEastAsia"/>
                <w:lang w:val="en-US" w:eastAsia="zh-CN"/>
              </w:rPr>
            </w:pPr>
            <w:r>
              <w:rPr>
                <w:rFonts w:hint="eastAsia" w:ascii="宋体" w:hAnsi="宋体" w:eastAsia="宋体" w:cs="宋体"/>
                <w:sz w:val="24"/>
                <w:highlight w:val="none"/>
                <w:lang w:eastAsia="zh-CN"/>
              </w:rPr>
              <w:t>路基石方爆破215011</w:t>
            </w:r>
            <w:r>
              <w:rPr>
                <w:rFonts w:hint="eastAsia" w:ascii="宋体" w:hAnsi="宋体" w:eastAsia="宋体" w:cs="宋体"/>
                <w:sz w:val="24"/>
                <w:highlight w:val="none"/>
                <w:lang w:val="en-US" w:eastAsia="zh-CN"/>
              </w:rPr>
              <w:t>m3，隧道爆破</w:t>
            </w:r>
            <w:r>
              <w:rPr>
                <w:rFonts w:hint="eastAsia" w:ascii="宋体" w:hAnsi="宋体" w:eastAsia="宋体" w:cs="宋体"/>
                <w:sz w:val="24"/>
                <w:highlight w:val="none"/>
                <w:lang w:eastAsia="zh-CN"/>
              </w:rPr>
              <w:t>87672</w:t>
            </w:r>
            <w:r>
              <w:rPr>
                <w:rFonts w:hint="eastAsia" w:ascii="宋体" w:hAnsi="宋体" w:eastAsia="宋体" w:cs="宋体"/>
                <w:sz w:val="24"/>
                <w:highlight w:val="none"/>
                <w:lang w:val="en-US" w:eastAsia="zh-CN"/>
              </w:rPr>
              <w:t>m3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资金来源为：向上争取和业主自筹，出资比例：100%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2)具有公安部管理部门批准的爆破作业单位许可证（营业性）四级及以上资质</w:t>
            </w:r>
            <w:r>
              <w:rPr>
                <w:rFonts w:hint="eastAsia" w:ascii="宋体" w:hAnsi="宋体" w:eastAsia="宋体" w:cs="宋体"/>
                <w:sz w:val="24"/>
                <w:highlight w:val="none"/>
              </w:rPr>
              <w:t>。</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eastAsia="zh-CN"/>
              </w:rPr>
              <w:t>忠县至石宝沿江旅游公路一期工程（G348县城至牟家山段）爆破作业</w:t>
            </w:r>
            <w:r>
              <w:rPr>
                <w:rFonts w:hint="eastAsia" w:ascii="宋体" w:hAnsi="宋体" w:eastAsia="宋体" w:cs="宋体"/>
                <w:sz w:val="24"/>
                <w:highlight w:val="none"/>
                <w:lang w:val="en-US" w:eastAsia="zh-CN"/>
              </w:rPr>
              <w:t>专业分包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本工程乙方必须按总包合同有关质量约定，达到国家及重庆市有关爆破工程施工及验收规范要求、设计文件要求以及项目业主对质量的要求。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暂定842 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暂定5234898.97</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乙方向甲方缴纳1%的履约保证金；保证金退还：本工程完工验收合格且本合同项下专业分包结算完成，经甲方审签确认后60日内，甲方不计息退还乙方履约保证金（扣除各种违约处罚金）。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2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p>
          <w:p>
            <w:pPr>
              <w:pStyle w:val="6"/>
              <w:widowControl/>
              <w:adjustRightInd/>
              <w:spacing w:beforeLines="0" w:afterLines="0" w:line="5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忠县至石宝沿江旅游公路一期工程（G348县城至牟家山段）爆破作业</w:t>
            </w:r>
            <w:r>
              <w:rPr>
                <w:rFonts w:hint="eastAsia" w:ascii="宋体" w:hAnsi="宋体" w:eastAsia="宋体" w:cs="宋体"/>
                <w:sz w:val="24"/>
                <w:highlight w:val="none"/>
                <w:lang w:val="en-US" w:eastAsia="zh-CN"/>
              </w:rPr>
              <w:t>专业分包</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widowControl/>
              <w:adjustRightInd/>
              <w:spacing w:beforeLines="0" w:afterLines="0" w:line="500" w:lineRule="exact"/>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w:t>
            </w:r>
            <w:r>
              <w:rPr>
                <w:rFonts w:hint="eastAsia" w:cs="宋体"/>
                <w:sz w:val="24"/>
                <w:szCs w:val="24"/>
                <w:highlight w:val="none"/>
                <w:lang w:val="en-US" w:eastAsia="zh-CN"/>
              </w:rPr>
              <w:t>15</w:t>
            </w:r>
            <w:r>
              <w:rPr>
                <w:rFonts w:hint="eastAsia" w:ascii="Calibri" w:hAnsi="Calibri" w:eastAsia="宋体" w:cs="宋体"/>
                <w:sz w:val="24"/>
                <w:szCs w:val="24"/>
                <w:highlight w:val="none"/>
              </w:rPr>
              <w:t>%)等全部费用；</w:t>
            </w:r>
          </w:p>
          <w:p>
            <w:pPr>
              <w:pStyle w:val="6"/>
              <w:widowControl/>
              <w:adjustRightInd/>
              <w:spacing w:beforeLines="0" w:afterLines="0" w:line="500" w:lineRule="exact"/>
              <w:ind w:firstLine="480" w:firstLineChars="200"/>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（1）甲方根据审核后的月进度结算金额，并扣除对乙方的甲供材料、甲供设备、各种违约金、代扣代缴等各项扣款后，甲方在收到发包人支付的工程进度款的次月28日内按60%支付乙方分包工程进度款；</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（2）工程完工验收合格后，甲方在收到发包人支付的工程进度款的次月28日内支付至累计月进度款的80% ；</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（3）分包结算完成并经甲方项目部和分公司结算审核后，三个月内支付到审定结算金额的95%；剩余5%作为质量保修金；</w:t>
            </w:r>
          </w:p>
          <w:p>
            <w:pPr>
              <w:numPr>
                <w:ilvl w:val="0"/>
                <w:numId w:val="0"/>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（4）5%的质量保修金在保修期满后，在完善相关手续后一次性无息付清。</w:t>
            </w:r>
          </w:p>
          <w:p>
            <w:pPr>
              <w:pStyle w:val="2"/>
              <w:rPr>
                <w:rFonts w:hint="default" w:ascii="Calibri" w:hAnsi="Calibri" w:eastAsia="宋体" w:cs="宋体"/>
                <w:b w:val="0"/>
                <w:color w:val="auto"/>
                <w:kern w:val="2"/>
                <w:sz w:val="24"/>
                <w:szCs w:val="24"/>
                <w:highlight w:val="none"/>
                <w:lang w:val="en-US" w:eastAsia="zh-CN" w:bidi="ar-SA"/>
              </w:rPr>
            </w:pPr>
            <w:r>
              <w:rPr>
                <w:rFonts w:hint="eastAsia" w:ascii="Calibri" w:hAnsi="Calibri" w:eastAsia="宋体" w:cs="宋体"/>
                <w:b w:val="0"/>
                <w:color w:val="auto"/>
                <w:kern w:val="2"/>
                <w:sz w:val="24"/>
                <w:szCs w:val="24"/>
                <w:highlight w:val="none"/>
                <w:lang w:val="en-US" w:eastAsia="zh-CN" w:bidi="ar-SA"/>
              </w:rPr>
              <w:t>（5）所有节点支付必须在甲方收到发包人支付的工程进度款的次月后支付。</w:t>
            </w:r>
          </w:p>
          <w:p>
            <w:pPr>
              <w:numPr>
                <w:ilvl w:val="0"/>
                <w:numId w:val="0"/>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beforeLines="0" w:afterLines="0" w:line="500" w:lineRule="exact"/>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工程量的确认依据：以实际工程量按合同结算；</w:t>
            </w:r>
          </w:p>
          <w:p>
            <w:pPr>
              <w:numPr>
                <w:ilvl w:val="0"/>
                <w:numId w:val="2"/>
              </w:numPr>
              <w:spacing w:beforeLines="0" w:afterLines="0" w:line="500" w:lineRule="exact"/>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snapToGrid w:val="0"/>
              <w:spacing w:line="560" w:lineRule="exact"/>
              <w:jc w:val="left"/>
              <w:rPr>
                <w:rFonts w:hint="default" w:ascii="宋体" w:hAnsi="宋体" w:eastAsia="宋体" w:cs="宋体"/>
                <w:sz w:val="24"/>
                <w:highlight w:val="none"/>
                <w:lang w:val="en-US"/>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 xml:space="preserve">杨宏伟 </w:t>
            </w:r>
            <w:r>
              <w:rPr>
                <w:rFonts w:hint="eastAsia" w:ascii="宋体" w:hAnsi="宋体" w:eastAsia="宋体" w:cs="宋体"/>
                <w:sz w:val="24"/>
                <w:highlight w:val="none"/>
              </w:rPr>
              <w:t>，电话：</w:t>
            </w:r>
            <w:r>
              <w:rPr>
                <w:rFonts w:hint="eastAsia" w:ascii="宋体" w:hAnsi="宋体" w:eastAsia="宋体" w:cs="宋体"/>
                <w:sz w:val="24"/>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highlight w:val="none"/>
                <w:lang w:val="en-US" w:eastAsia="zh-CN"/>
              </w:rPr>
              <w:t>具有公安部管理部门批准的爆破作业单位许可证（营业性）四级及以上资质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42923333"/>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42923335"/>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123786826"/>
      <w:bookmarkStart w:id="7" w:name="_Toc71877705"/>
      <w:bookmarkStart w:id="8" w:name="_Toc42923337"/>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专业</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71877707"/>
      <w:bookmarkStart w:id="17" w:name="_Toc42923339"/>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42923340"/>
      <w:bookmarkStart w:id="22" w:name="_Toc12378683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123786831"/>
      <w:bookmarkStart w:id="25" w:name="_Toc4292334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42923342"/>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42923343"/>
      <w:bookmarkStart w:id="30" w:name="_Toc71877711"/>
      <w:bookmarkStart w:id="31" w:name="_Toc12378683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123786834"/>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12378683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42923346"/>
      <w:bookmarkStart w:id="40" w:name="_Toc12378683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质</w:t>
      </w:r>
      <w:r>
        <w:rPr>
          <w:rFonts w:hint="eastAsia" w:ascii="宋体" w:hAnsi="宋体" w:eastAsia="宋体" w:cs="宋体"/>
          <w:color w:val="auto"/>
          <w:sz w:val="28"/>
          <w:szCs w:val="28"/>
          <w:highlight w:val="none"/>
          <w:lang w:eastAsia="zh-CN"/>
        </w:rPr>
        <w:t>量</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jc w:val="left"/>
        <w:rPr>
          <w:color w:val="auto"/>
        </w:rPr>
      </w:pPr>
      <w:r>
        <w:rPr>
          <w:rFonts w:hint="eastAsia" w:ascii="宋体" w:hAnsi="宋体" w:eastAsia="宋体" w:cs="宋体"/>
          <w:color w:val="auto"/>
          <w:sz w:val="28"/>
          <w:szCs w:val="28"/>
          <w:highlight w:val="none"/>
          <w:lang w:eastAsia="zh-CN"/>
        </w:rPr>
        <w:t>爆破保管</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安全员(附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42923349"/>
      <w:bookmarkStart w:id="46" w:name="_Toc12378683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123786843"/>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42923354"/>
      <w:bookmarkStart w:id="53" w:name="_Toc71877722"/>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42923355"/>
      <w:bookmarkStart w:id="55" w:name="_Toc123786845"/>
      <w:bookmarkStart w:id="56" w:name="_Toc71877723"/>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42923356"/>
      <w:bookmarkStart w:id="58" w:name="_Toc123786846"/>
      <w:bookmarkStart w:id="59" w:name="_Toc71877724"/>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42923357"/>
      <w:bookmarkStart w:id="61" w:name="_Toc71877725"/>
      <w:bookmarkStart w:id="62" w:name="_Toc12378684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42923358"/>
      <w:bookmarkStart w:id="64" w:name="_Toc71877726"/>
      <w:bookmarkStart w:id="65" w:name="_Toc12378684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42923359"/>
      <w:bookmarkStart w:id="68" w:name="_Toc71877727"/>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71877729"/>
      <w:bookmarkStart w:id="73" w:name="_Toc42923361"/>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71877730"/>
      <w:bookmarkStart w:id="77" w:name="_Toc123786852"/>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42923368"/>
      <w:bookmarkStart w:id="85" w:name="_Toc123786857"/>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42923372"/>
      <w:bookmarkStart w:id="87" w:name="_Toc71877740"/>
      <w:bookmarkStart w:id="88" w:name="_Toc123786859"/>
      <w:bookmarkStart w:id="89" w:name="_Toc491658674"/>
      <w:bookmarkStart w:id="90" w:name="_Toc454701402"/>
      <w:bookmarkStart w:id="91" w:name="_Toc468606052"/>
      <w:bookmarkStart w:id="92" w:name="_Toc467987846"/>
      <w:bookmarkStart w:id="93" w:name="_Toc479991605"/>
      <w:bookmarkStart w:id="94" w:name="_Toc480021076"/>
      <w:bookmarkStart w:id="95" w:name="_Toc467236763"/>
      <w:bookmarkStart w:id="96" w:name="_Toc480020280"/>
      <w:bookmarkStart w:id="97" w:name="_Toc32977091"/>
      <w:bookmarkStart w:id="98" w:name="_Toc468157559"/>
      <w:bookmarkStart w:id="99" w:name="_Toc500861020"/>
      <w:bookmarkStart w:id="100" w:name="_Toc458262635"/>
      <w:bookmarkStart w:id="101" w:name="_Toc48001073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numPr>
          <w:ilvl w:val="0"/>
          <w:numId w:val="4"/>
        </w:numPr>
        <w:rPr>
          <w:rFonts w:hint="eastAsia"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专业分包合同范本修订稿</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spacing w:line="480" w:lineRule="auto"/>
        <w:rPr>
          <w:rFonts w:ascii="仿宋_GB2312" w:hAnsi="宋体" w:eastAsia="仿宋_GB2312"/>
          <w:iCs/>
          <w:color w:val="000000"/>
          <w:sz w:val="40"/>
          <w:szCs w:val="36"/>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sz w:val="21"/>
          <w:szCs w:val="21"/>
          <w:u w:val="single"/>
          <w:lang w:val="en-US" w:eastAsia="zh-CN"/>
        </w:rPr>
        <w:t>｛样例；拟写合同时请按实际</w:t>
      </w:r>
      <w:r>
        <w:rPr>
          <w:rStyle w:val="18"/>
          <w:rFonts w:hint="eastAsia" w:ascii="Times New Roman" w:hAnsi="Times New Roman"/>
          <w:color w:val="632423"/>
          <w:sz w:val="21"/>
          <w:szCs w:val="21"/>
          <w:u w:val="single"/>
          <w:lang w:val="en-US" w:eastAsia="zh-CN"/>
        </w:rPr>
        <w:t>专业分包内容</w:t>
      </w:r>
      <w:r>
        <w:rPr>
          <w:rStyle w:val="18"/>
          <w:rFonts w:hint="eastAsia" w:ascii="Times New Roman" w:hAnsi="Times New Roman" w:eastAsia="宋体"/>
          <w:color w:val="632423"/>
          <w:sz w:val="21"/>
          <w:szCs w:val="21"/>
          <w:u w:val="single"/>
          <w:lang w:val="en-US" w:eastAsia="zh-CN"/>
        </w:rPr>
        <w:t>填写</w:t>
      </w:r>
      <w:r>
        <w:rPr>
          <w:rStyle w:val="18"/>
          <w:rFonts w:hint="eastAsia" w:ascii="Times New Roman" w:hAnsi="Times New Roman"/>
          <w:color w:val="632423"/>
          <w:sz w:val="21"/>
          <w:szCs w:val="21"/>
          <w:u w:val="single"/>
          <w:lang w:val="en-US" w:eastAsia="zh-CN"/>
        </w:rPr>
        <w:t>且同类合同相互区分</w:t>
      </w:r>
      <w:r>
        <w:rPr>
          <w:rStyle w:val="18"/>
          <w:rFonts w:hint="eastAsia" w:ascii="Times New Roman" w:hAnsi="Times New Roman" w:eastAsia="宋体"/>
          <w:color w:val="632423"/>
          <w:sz w:val="21"/>
          <w:szCs w:val="21"/>
          <w:u w:val="single"/>
          <w:lang w:val="en-US" w:eastAsia="zh-CN"/>
        </w:rPr>
        <w:t>，并删去提示词，下同。｝</w:t>
      </w:r>
    </w:p>
    <w:p>
      <w:pPr>
        <w:widowControl/>
        <w:spacing w:line="360" w:lineRule="auto"/>
        <w:jc w:val="left"/>
        <w:rPr>
          <w:rFonts w:hint="eastAsia" w:ascii="Times New Roman" w:hAnsi="Times New Roman" w:eastAsia="宋体" w:cs="仿宋"/>
          <w:color w:val="632423"/>
          <w:sz w:val="21"/>
          <w:szCs w:val="21"/>
          <w:u w:val="single"/>
        </w:rPr>
      </w:pPr>
      <w:r>
        <w:rPr>
          <w:rStyle w:val="18"/>
          <w:rFonts w:hint="eastAsia" w:ascii="Times New Roman" w:hAnsi="Times New Roman" w:eastAsia="宋体"/>
          <w:color w:val="632423"/>
          <w:sz w:val="21"/>
          <w:szCs w:val="21"/>
          <w:u w:val="single"/>
          <w:lang w:val="en-US" w:eastAsia="zh-CN"/>
        </w:rPr>
        <w:t>｛批注：1、据实际情况需调整具体合同条款的，应提前与公司相关部门沟通；</w:t>
      </w:r>
      <w:r>
        <w:rPr>
          <w:rFonts w:hint="eastAsia" w:ascii="Times New Roman" w:hAnsi="Times New Roman" w:eastAsia="宋体"/>
          <w:color w:val="632423"/>
          <w:sz w:val="21"/>
          <w:szCs w:val="21"/>
          <w:u w:val="single"/>
          <w:lang w:val="en-US" w:eastAsia="zh-CN"/>
        </w:rPr>
        <w:t>2、正式合同请删除批注；｝</w:t>
      </w: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widowControl/>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720"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Style w:val="18"/>
          <w:rFonts w:hint="eastAsia" w:ascii="Times New Roman" w:hAnsi="Times New Roman" w:eastAsia="宋体"/>
          <w:color w:val="632423"/>
          <w:sz w:val="21"/>
          <w:szCs w:val="21"/>
          <w:u w:val="single"/>
          <w:lang w:val="en-US" w:eastAsia="zh-CN"/>
        </w:rPr>
        <w:t>｛律师批注：根据具体工作明确业主单位名称和合同名称。｝</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rPr>
        <w:t xml:space="preserve">        </w:t>
      </w:r>
      <w:r>
        <w:rPr>
          <w:rFonts w:hint="eastAsia" w:eastAsia="仿宋_GB2312"/>
          <w:sz w:val="28"/>
          <w:szCs w:val="28"/>
        </w:rPr>
        <w:t>，</w:t>
      </w:r>
      <w:r>
        <w:rPr>
          <w:rFonts w:eastAsia="仿宋_GB2312"/>
          <w:color w:val="000000"/>
          <w:sz w:val="28"/>
          <w:szCs w:val="28"/>
        </w:rPr>
        <w:t>质量员</w:t>
      </w:r>
      <w:r>
        <w:rPr>
          <w:rFonts w:hint="eastAsia" w:eastAsia="仿宋_GB2312"/>
          <w:color w:val="000000"/>
          <w:sz w:val="28"/>
          <w:szCs w:val="28"/>
          <w:u w:val="single"/>
        </w:rPr>
        <w:t xml:space="preserve">          </w:t>
      </w:r>
      <w:r>
        <w:rPr>
          <w:rFonts w:hint="eastAsia" w:eastAsia="仿宋_GB2312"/>
          <w:color w:val="000000"/>
          <w:sz w:val="28"/>
          <w:szCs w:val="28"/>
        </w:rPr>
        <w:t>，</w:t>
      </w:r>
      <w:r>
        <w:rPr>
          <w:rFonts w:eastAsia="仿宋_GB2312"/>
          <w:color w:val="000000"/>
          <w:sz w:val="28"/>
          <w:szCs w:val="28"/>
        </w:rPr>
        <w:t>安全员</w:t>
      </w:r>
      <w:r>
        <w:rPr>
          <w:rFonts w:hint="eastAsia" w:eastAsia="仿宋_GB2312"/>
          <w:color w:val="000000"/>
          <w:sz w:val="28"/>
          <w:szCs w:val="28"/>
          <w:u w:val="single"/>
        </w:rPr>
        <w:t xml:space="preserve">          </w:t>
      </w:r>
      <w:r>
        <w:rPr>
          <w:rFonts w:hint="eastAsia" w:eastAsia="仿宋_GB2312"/>
          <w:color w:val="000000"/>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Style w:val="18"/>
          <w:rFonts w:hint="eastAsia" w:ascii="Times New Roman" w:hAnsi="Times New Roman" w:eastAsia="宋体"/>
          <w:color w:val="984806"/>
          <w:kern w:val="2"/>
          <w:u w:val="single"/>
          <w:lang w:val="en-US" w:eastAsia="zh-CN" w:bidi="ar-SA"/>
        </w:rPr>
        <w:t>｛律师批注：如果工程所在地不在重庆市的，需要符合当地的质量验收标准。下同。</w:t>
      </w:r>
      <w:r>
        <w:rPr>
          <w:rStyle w:val="18"/>
          <w:rFonts w:hint="eastAsia"/>
          <w:color w:val="984806"/>
          <w:kern w:val="2"/>
          <w:u w:val="single"/>
          <w:lang w:val="en-US" w:eastAsia="zh-CN" w:bidi="ar-SA"/>
        </w:rPr>
        <w:t>｝</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sz w:val="28"/>
          <w:szCs w:val="28"/>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本合同综合</w:t>
      </w:r>
      <w:r>
        <w:rPr>
          <w:rFonts w:hint="eastAsia" w:ascii="Times New Roman" w:hAnsi="Times New Roman" w:eastAsia="仿宋_GB2312"/>
          <w:sz w:val="28"/>
          <w:szCs w:val="28"/>
        </w:rPr>
        <w:t>单价</w:t>
      </w:r>
      <w:r>
        <w:rPr>
          <w:rFonts w:ascii="Times New Roman" w:hAnsi="Times New Roman" w:eastAsia="仿宋_GB2312"/>
          <w:sz w:val="28"/>
          <w:szCs w:val="28"/>
        </w:rPr>
        <w:t>为中标价，综合</w:t>
      </w:r>
      <w:r>
        <w:rPr>
          <w:rFonts w:hint="eastAsia" w:ascii="Times New Roman" w:hAnsi="Times New Roman" w:eastAsia="仿宋_GB2312"/>
          <w:sz w:val="28"/>
          <w:szCs w:val="28"/>
        </w:rPr>
        <w:t>单价包括</w:t>
      </w:r>
      <w:r>
        <w:rPr>
          <w:rFonts w:ascii="Times New Roman" w:hAnsi="Times New Roman" w:eastAsia="仿宋_GB2312"/>
          <w:sz w:val="28"/>
          <w:szCs w:val="28"/>
        </w:rPr>
        <w:t>直接费（含人工费、材料费、机械费</w:t>
      </w:r>
      <w:r>
        <w:rPr>
          <w:rFonts w:hint="eastAsia" w:ascii="Times New Roman" w:hAnsi="Times New Roman" w:eastAsia="仿宋_GB2312"/>
          <w:sz w:val="28"/>
          <w:szCs w:val="28"/>
        </w:rPr>
        <w:t>等</w:t>
      </w:r>
      <w:r>
        <w:rPr>
          <w:rFonts w:ascii="Times New Roman" w:hAnsi="Times New Roman" w:eastAsia="仿宋_GB2312"/>
          <w:sz w:val="28"/>
          <w:szCs w:val="28"/>
        </w:rPr>
        <w:t>）、其</w:t>
      </w:r>
      <w:r>
        <w:rPr>
          <w:rFonts w:hint="eastAsia" w:ascii="Times New Roman" w:hAnsi="Times New Roman" w:eastAsia="仿宋_GB2312"/>
          <w:sz w:val="28"/>
          <w:szCs w:val="28"/>
        </w:rPr>
        <w:t>他</w:t>
      </w:r>
      <w:r>
        <w:rPr>
          <w:rFonts w:ascii="Times New Roman" w:hAnsi="Times New Roman" w:eastAsia="仿宋_GB2312"/>
          <w:sz w:val="28"/>
          <w:szCs w:val="28"/>
        </w:rPr>
        <w:t>直接费、现场管理费、企业管理费、财务费用、劳务保险费、施工组织及技术措施费、安全文明施工费、现有设施成品保护费</w:t>
      </w:r>
      <w:r>
        <w:rPr>
          <w:rFonts w:hint="eastAsia" w:ascii="Times New Roman" w:hAnsi="Times New Roman" w:eastAsia="仿宋_GB2312"/>
          <w:sz w:val="28"/>
          <w:szCs w:val="28"/>
        </w:rPr>
        <w:t>、</w:t>
      </w:r>
      <w:r>
        <w:rPr>
          <w:rFonts w:ascii="Times New Roman" w:hAnsi="Times New Roman" w:eastAsia="仿宋_GB2312"/>
          <w:sz w:val="28"/>
          <w:szCs w:val="28"/>
        </w:rPr>
        <w:t>材料（含甲供</w:t>
      </w:r>
      <w:r>
        <w:rPr>
          <w:rFonts w:hint="eastAsia" w:ascii="Times New Roman" w:hAnsi="Times New Roman" w:eastAsia="仿宋_GB2312"/>
          <w:sz w:val="28"/>
          <w:szCs w:val="28"/>
        </w:rPr>
        <w:t>材，如有</w:t>
      </w:r>
      <w:r>
        <w:rPr>
          <w:rFonts w:ascii="Times New Roman" w:hAnsi="Times New Roman" w:eastAsia="仿宋_GB2312"/>
          <w:sz w:val="28"/>
          <w:szCs w:val="28"/>
        </w:rPr>
        <w:t>）的二次或多次转运及仓储保管费、材料（含甲供材</w:t>
      </w:r>
      <w:r>
        <w:rPr>
          <w:rFonts w:hint="eastAsia" w:ascii="Times New Roman" w:hAnsi="Times New Roman" w:eastAsia="仿宋_GB2312"/>
          <w:sz w:val="28"/>
          <w:szCs w:val="28"/>
        </w:rPr>
        <w:t>，如有）</w:t>
      </w:r>
      <w:r>
        <w:rPr>
          <w:rFonts w:ascii="Times New Roman" w:hAnsi="Times New Roman" w:eastAsia="仿宋_GB2312"/>
          <w:sz w:val="28"/>
          <w:szCs w:val="28"/>
        </w:rPr>
        <w:t>上下车费</w:t>
      </w:r>
      <w:r>
        <w:rPr>
          <w:rFonts w:hint="eastAsia" w:ascii="Times New Roman" w:hAnsi="Times New Roman" w:eastAsia="仿宋_GB2312"/>
          <w:sz w:val="28"/>
          <w:szCs w:val="28"/>
        </w:rPr>
        <w:t>、</w:t>
      </w:r>
      <w:r>
        <w:rPr>
          <w:rFonts w:ascii="Times New Roman" w:hAnsi="Times New Roman" w:eastAsia="仿宋_GB2312"/>
          <w:sz w:val="28"/>
          <w:szCs w:val="28"/>
        </w:rPr>
        <w:t>分包人施</w:t>
      </w:r>
      <w:r>
        <w:rPr>
          <w:rFonts w:hint="eastAsia" w:ascii="Times New Roman" w:hAnsi="Times New Roman" w:eastAsia="仿宋_GB2312"/>
          <w:sz w:val="28"/>
          <w:szCs w:val="28"/>
        </w:rPr>
        <w:t>工</w:t>
      </w:r>
      <w:r>
        <w:rPr>
          <w:rFonts w:ascii="Times New Roman" w:hAnsi="Times New Roman" w:eastAsia="仿宋_GB2312"/>
          <w:sz w:val="28"/>
          <w:szCs w:val="28"/>
        </w:rPr>
        <w:t>过程中的材料损耗及试验用材料损耗费用、检验试验费、</w:t>
      </w:r>
      <w:r>
        <w:rPr>
          <w:rFonts w:hint="eastAsia" w:ascii="Times New Roman" w:hAnsi="Times New Roman" w:eastAsia="仿宋_GB2312"/>
          <w:sz w:val="28"/>
          <w:szCs w:val="28"/>
        </w:rPr>
        <w:t>分</w:t>
      </w:r>
      <w:r>
        <w:rPr>
          <w:rFonts w:ascii="Times New Roman" w:hAnsi="Times New Roman" w:eastAsia="仿宋_GB2312"/>
          <w:sz w:val="28"/>
          <w:szCs w:val="28"/>
        </w:rPr>
        <w:t>包人因图纸转化而引起的工程量和材料量差费用、利润、规费、税金（费）、保险金、缺陷</w:t>
      </w:r>
      <w:r>
        <w:rPr>
          <w:rFonts w:hint="eastAsia" w:ascii="Times New Roman" w:hAnsi="Times New Roman" w:eastAsia="仿宋_GB2312"/>
          <w:sz w:val="28"/>
          <w:szCs w:val="28"/>
        </w:rPr>
        <w:t>期</w:t>
      </w:r>
      <w:r>
        <w:rPr>
          <w:rFonts w:ascii="Times New Roman" w:hAnsi="Times New Roman" w:eastAsia="仿宋_GB2312"/>
          <w:sz w:val="28"/>
          <w:szCs w:val="28"/>
        </w:rPr>
        <w:t>修复费以及本招标文件中明示或</w:t>
      </w:r>
      <w:r>
        <w:rPr>
          <w:rFonts w:hint="eastAsia" w:ascii="Times New Roman" w:hAnsi="Times New Roman" w:eastAsia="仿宋_GB2312"/>
          <w:sz w:val="28"/>
          <w:szCs w:val="28"/>
        </w:rPr>
        <w:t>暗示</w:t>
      </w:r>
      <w:r>
        <w:rPr>
          <w:rFonts w:ascii="Times New Roman" w:hAnsi="Times New Roman" w:eastAsia="仿宋_GB2312"/>
          <w:sz w:val="28"/>
          <w:szCs w:val="28"/>
        </w:rPr>
        <w:t>的有经验的</w:t>
      </w:r>
      <w:r>
        <w:rPr>
          <w:rFonts w:hint="eastAsia" w:ascii="Times New Roman" w:hAnsi="Times New Roman" w:eastAsia="仿宋_GB2312"/>
          <w:sz w:val="28"/>
          <w:szCs w:val="28"/>
        </w:rPr>
        <w:t>分</w:t>
      </w:r>
      <w:r>
        <w:rPr>
          <w:rFonts w:ascii="Times New Roman" w:hAnsi="Times New Roman" w:eastAsia="仿宋_GB2312"/>
          <w:sz w:val="28"/>
          <w:szCs w:val="28"/>
        </w:rPr>
        <w:t>包人能</w:t>
      </w:r>
      <w:r>
        <w:rPr>
          <w:rFonts w:hint="eastAsia" w:ascii="Times New Roman" w:hAnsi="Times New Roman" w:eastAsia="仿宋_GB2312"/>
          <w:sz w:val="28"/>
          <w:szCs w:val="28"/>
        </w:rPr>
        <w:t>预</w:t>
      </w:r>
      <w:r>
        <w:rPr>
          <w:rFonts w:ascii="Times New Roman" w:hAnsi="Times New Roman" w:eastAsia="仿宋_GB2312"/>
          <w:sz w:val="28"/>
          <w:szCs w:val="28"/>
        </w:rPr>
        <w:t>见的风险（如建设合同工期内物价（包括人工、材料、</w:t>
      </w:r>
      <w:r>
        <w:rPr>
          <w:rFonts w:hint="eastAsia" w:ascii="Times New Roman" w:hAnsi="Times New Roman" w:eastAsia="仿宋_GB2312"/>
          <w:sz w:val="28"/>
          <w:szCs w:val="28"/>
        </w:rPr>
        <w:t>机械</w:t>
      </w:r>
      <w:r>
        <w:rPr>
          <w:rFonts w:ascii="Times New Roman" w:hAnsi="Times New Roman" w:eastAsia="仿宋_GB2312"/>
          <w:sz w:val="28"/>
          <w:szCs w:val="28"/>
        </w:rPr>
        <w:t>）涨落的</w:t>
      </w:r>
      <w:r>
        <w:rPr>
          <w:rFonts w:hint="eastAsia" w:ascii="Times New Roman" w:hAnsi="Times New Roman" w:eastAsia="仿宋_GB2312"/>
          <w:sz w:val="28"/>
          <w:szCs w:val="28"/>
        </w:rPr>
        <w:t>风险</w:t>
      </w:r>
      <w:r>
        <w:rPr>
          <w:rFonts w:ascii="Times New Roman" w:hAnsi="Times New Roman" w:eastAsia="仿宋_GB2312"/>
          <w:sz w:val="28"/>
          <w:szCs w:val="28"/>
        </w:rPr>
        <w:t>、连续停水停电</w:t>
      </w:r>
      <w:r>
        <w:rPr>
          <w:rFonts w:hint="eastAsia" w:ascii="Times New Roman" w:hAnsi="Times New Roman" w:eastAsia="仿宋_GB2312"/>
          <w:sz w:val="28"/>
          <w:szCs w:val="28"/>
        </w:rPr>
        <w:t>48小</w:t>
      </w:r>
      <w:r>
        <w:rPr>
          <w:rFonts w:ascii="Times New Roman" w:hAnsi="Times New Roman" w:eastAsia="仿宋_GB2312"/>
          <w:sz w:val="28"/>
          <w:szCs w:val="28"/>
        </w:rPr>
        <w:t>时以内的风险、因交通管制暂停施工的风险、非甲方原因造成的管网破坏修复的风险等已</w:t>
      </w:r>
      <w:r>
        <w:rPr>
          <w:rFonts w:hint="eastAsia" w:ascii="Times New Roman" w:hAnsi="Times New Roman" w:eastAsia="仿宋_GB2312"/>
          <w:sz w:val="28"/>
          <w:szCs w:val="28"/>
        </w:rPr>
        <w:t>含</w:t>
      </w:r>
      <w:r>
        <w:rPr>
          <w:rFonts w:ascii="Times New Roman" w:hAnsi="Times New Roman" w:eastAsia="仿宋_GB2312"/>
          <w:sz w:val="28"/>
          <w:szCs w:val="28"/>
        </w:rPr>
        <w:t>在工程量清单报价的单价内）、责任和义务（如因设计调整造成工程项目或数量变化必须无条件地接受并</w:t>
      </w:r>
      <w:r>
        <w:rPr>
          <w:rFonts w:hint="eastAsia" w:ascii="Times New Roman" w:hAnsi="Times New Roman" w:eastAsia="仿宋_GB2312"/>
          <w:sz w:val="28"/>
          <w:szCs w:val="28"/>
        </w:rPr>
        <w:t>实施</w:t>
      </w:r>
      <w:r>
        <w:rPr>
          <w:rFonts w:ascii="Times New Roman" w:hAnsi="Times New Roman" w:eastAsia="仿宋_GB2312"/>
          <w:sz w:val="28"/>
          <w:szCs w:val="28"/>
        </w:rPr>
        <w:t>完成）等。综合</w:t>
      </w:r>
      <w:r>
        <w:rPr>
          <w:rFonts w:hint="eastAsia" w:ascii="Times New Roman" w:hAnsi="Times New Roman" w:eastAsia="仿宋_GB2312"/>
          <w:sz w:val="28"/>
          <w:szCs w:val="28"/>
        </w:rPr>
        <w:t>单价</w:t>
      </w:r>
      <w:r>
        <w:rPr>
          <w:rFonts w:ascii="Times New Roman" w:hAnsi="Times New Roman" w:eastAsia="仿宋_GB2312"/>
          <w:sz w:val="28"/>
          <w:szCs w:val="28"/>
        </w:rPr>
        <w:t>不论现场情况怎么变</w:t>
      </w:r>
      <w:r>
        <w:rPr>
          <w:rFonts w:hint="eastAsia" w:ascii="Times New Roman" w:hAnsi="Times New Roman" w:eastAsia="仿宋_GB2312"/>
          <w:sz w:val="28"/>
          <w:szCs w:val="28"/>
        </w:rPr>
        <w:t>化</w:t>
      </w:r>
      <w:r>
        <w:rPr>
          <w:rFonts w:ascii="Times New Roman" w:hAnsi="Times New Roman" w:eastAsia="仿宋_GB2312"/>
          <w:sz w:val="28"/>
          <w:szCs w:val="28"/>
        </w:rPr>
        <w:t>，单价固定不变。</w:t>
      </w:r>
    </w:p>
    <w:p>
      <w:pPr>
        <w:spacing w:line="440" w:lineRule="exact"/>
        <w:ind w:right="-25" w:firstLine="630" w:firstLineChars="225"/>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本合同清单价格在工程施工及竣工周期中，不予以调整。</w:t>
      </w:r>
    </w:p>
    <w:p>
      <w:pPr>
        <w:spacing w:line="440" w:lineRule="exact"/>
        <w:ind w:right="-25" w:firstLine="630" w:firstLineChars="225"/>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本合同</w:t>
      </w:r>
      <w:r>
        <w:rPr>
          <w:rFonts w:hint="eastAsia" w:ascii="Times New Roman" w:hAnsi="Times New Roman" w:eastAsia="仿宋_GB2312"/>
          <w:sz w:val="28"/>
          <w:szCs w:val="28"/>
        </w:rPr>
        <w:t>价</w:t>
      </w:r>
      <w:r>
        <w:rPr>
          <w:rFonts w:ascii="Times New Roman" w:hAnsi="Times New Roman" w:eastAsia="仿宋_GB2312"/>
          <w:sz w:val="28"/>
          <w:szCs w:val="28"/>
        </w:rPr>
        <w:t>款采用固定单价合同（含税），以中标的工程总报价作</w:t>
      </w:r>
      <w:r>
        <w:rPr>
          <w:rFonts w:hint="eastAsia" w:ascii="Times New Roman" w:hAnsi="Times New Roman" w:eastAsia="仿宋_GB2312"/>
          <w:sz w:val="28"/>
          <w:szCs w:val="28"/>
        </w:rPr>
        <w:t>为</w:t>
      </w:r>
      <w:r>
        <w:rPr>
          <w:rFonts w:ascii="Times New Roman" w:hAnsi="Times New Roman" w:eastAsia="仿宋_GB2312"/>
          <w:sz w:val="28"/>
          <w:szCs w:val="28"/>
        </w:rPr>
        <w:t>暂定的合同总价，其最终合同价款为工程量清单结算价。</w:t>
      </w:r>
    </w:p>
    <w:p>
      <w:pPr>
        <w:spacing w:line="440" w:lineRule="exact"/>
        <w:ind w:right="-25" w:firstLine="630" w:firstLineChars="225"/>
        <w:rPr>
          <w:rFonts w:ascii="Times New Roman" w:hAnsi="Times New Roman" w:eastAsia="仿宋_GB2312"/>
          <w:sz w:val="28"/>
          <w:szCs w:val="28"/>
          <w:highlight w:val="yellow"/>
        </w:rPr>
      </w:pPr>
      <w:r>
        <w:rPr>
          <w:rFonts w:hint="eastAsia" w:ascii="Times New Roman" w:hAnsi="Times New Roman" w:eastAsia="仿宋_GB2312"/>
          <w:sz w:val="28"/>
          <w:szCs w:val="28"/>
          <w:highlight w:val="yellow"/>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w:t>
      </w:r>
      <w:r>
        <w:rPr>
          <w:rFonts w:hint="eastAsia" w:eastAsia="仿宋_GB2312"/>
          <w:sz w:val="28"/>
          <w:szCs w:val="28"/>
          <w:lang w:eastAsia="zh-CN"/>
        </w:rPr>
        <w:t>六</w:t>
      </w:r>
      <w:r>
        <w:rPr>
          <w:rFonts w:hint="eastAsia" w:eastAsia="仿宋_GB2312"/>
          <w:sz w:val="28"/>
          <w:szCs w:val="28"/>
        </w:rPr>
        <w:t>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《建筑安装工程施工及验收规范》、《建筑安装工程质量评定标准》____________________</w:t>
      </w:r>
      <w:r>
        <w:rPr>
          <w:rFonts w:hint="eastAsia" w:eastAsia="方正楷体_GBK"/>
          <w:iCs/>
          <w:color w:val="C0504D"/>
          <w:sz w:val="28"/>
          <w:szCs w:val="28"/>
          <w:u w:val="single"/>
        </w:rPr>
        <w:t>{提示：公路、市政项目对应填入标准名称}</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sz w:val="28"/>
          <w:szCs w:val="28"/>
        </w:rPr>
      </w:pPr>
      <w:r>
        <w:rPr>
          <w:rFonts w:hint="eastAsia" w:eastAsia="仿宋_GB2312"/>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sz w:val="28"/>
          <w:szCs w:val="28"/>
        </w:rPr>
      </w:pPr>
      <w:r>
        <w:rPr>
          <w:rFonts w:hint="eastAsia" w:eastAsia="仿宋_GB2312"/>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sz w:val="28"/>
          <w:szCs w:val="28"/>
        </w:rPr>
      </w:pPr>
      <w:r>
        <w:rPr>
          <w:rFonts w:hint="eastAsia" w:eastAsia="仿宋_GB2312"/>
          <w:color w:val="000000"/>
          <w:sz w:val="28"/>
          <w:szCs w:val="28"/>
        </w:rPr>
        <w:t>5、其他质量管理办法按照《重庆对外建设(集团)有限公司关于&lt;工程质量管理办法&gt;的通知》(</w:t>
      </w:r>
      <w:r>
        <w:rPr>
          <w:rFonts w:eastAsia="仿宋_GB2312"/>
          <w:color w:val="000000"/>
          <w:sz w:val="28"/>
          <w:szCs w:val="28"/>
        </w:rPr>
        <w:t>渝外建发〔2015〕136号</w:t>
      </w:r>
      <w:r>
        <w:rPr>
          <w:rFonts w:hint="eastAsia" w:eastAsia="仿宋_GB2312"/>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highlight w:val="yellow"/>
        </w:rPr>
        <w:t>施工过程中乙方不服从甲方安全管理造成的安全事故</w:t>
      </w:r>
      <w:r>
        <w:rPr>
          <w:rFonts w:hint="eastAsia" w:ascii="Times New Roman" w:hAnsi="Times New Roman" w:eastAsia="仿宋_GB2312"/>
          <w:sz w:val="28"/>
          <w:szCs w:val="28"/>
          <w:highlight w:val="yellow"/>
          <w:lang w:eastAsia="zh-CN"/>
        </w:rPr>
        <w:t>、</w:t>
      </w:r>
      <w:r>
        <w:rPr>
          <w:rFonts w:hint="eastAsia" w:ascii="Times New Roman" w:hAnsi="Times New Roman" w:eastAsia="仿宋_GB2312"/>
          <w:sz w:val="28"/>
          <w:szCs w:val="28"/>
          <w:highlight w:val="yellow"/>
          <w:lang w:val="en-US" w:eastAsia="zh-CN"/>
        </w:rPr>
        <w:t>未按合同约定购买商业保险和意外伤害险</w:t>
      </w:r>
      <w:r>
        <w:rPr>
          <w:rFonts w:hint="eastAsia" w:ascii="Times New Roman" w:hAnsi="Times New Roman" w:eastAsia="仿宋_GB2312"/>
          <w:sz w:val="28"/>
          <w:szCs w:val="28"/>
          <w:highlight w:val="yellow"/>
        </w:rPr>
        <w:t>，其全部责任及全部费用由乙方负责；存在甲方管理原因的工伤事故的分担约定：凡一人次工伤在伍万元以内的经济损失由乙方全额承担；超出伍万元的部分，</w:t>
      </w:r>
      <w:r>
        <w:rPr>
          <w:rFonts w:hint="eastAsia" w:ascii="Times New Roman" w:hAnsi="Times New Roman" w:eastAsia="仿宋_GB2312"/>
          <w:sz w:val="28"/>
          <w:szCs w:val="28"/>
          <w:highlight w:val="yellow"/>
          <w:lang w:val="en-US" w:eastAsia="zh-CN"/>
        </w:rPr>
        <w:t>按主次责任划分</w:t>
      </w:r>
      <w:r>
        <w:rPr>
          <w:rFonts w:hint="eastAsia" w:ascii="Times New Roman" w:hAnsi="Times New Roman" w:eastAsia="仿宋_GB2312"/>
          <w:sz w:val="28"/>
          <w:szCs w:val="28"/>
          <w:highlight w:val="yellow"/>
        </w:rPr>
        <w:t>双方按70%：30</w:t>
      </w:r>
      <w:r>
        <w:rPr>
          <w:rFonts w:ascii="Times New Roman" w:hAnsi="Times New Roman" w:eastAsia="仿宋_GB2312"/>
          <w:sz w:val="28"/>
          <w:szCs w:val="28"/>
          <w:highlight w:val="yellow"/>
        </w:rPr>
        <w:t>%</w:t>
      </w:r>
      <w:r>
        <w:rPr>
          <w:rFonts w:hint="eastAsia" w:ascii="Times New Roman" w:hAnsi="Times New Roman" w:eastAsia="仿宋_GB2312"/>
          <w:sz w:val="28"/>
          <w:szCs w:val="28"/>
          <w:highlight w:val="yellow"/>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sz w:val="28"/>
          <w:szCs w:val="28"/>
        </w:rPr>
      </w:pPr>
      <w:r>
        <w:rPr>
          <w:rFonts w:hint="eastAsia" w:eastAsia="仿宋_GB2312"/>
          <w:color w:val="000000"/>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000000"/>
          <w:sz w:val="28"/>
          <w:szCs w:val="28"/>
          <w:lang w:eastAsia="zh-CN"/>
        </w:rPr>
        <w:t>〔</w:t>
      </w:r>
      <w:r>
        <w:rPr>
          <w:rFonts w:hint="eastAsia" w:eastAsia="仿宋_GB2312"/>
          <w:color w:val="000000"/>
          <w:sz w:val="28"/>
          <w:szCs w:val="28"/>
        </w:rPr>
        <w:t>2012</w:t>
      </w:r>
      <w:r>
        <w:rPr>
          <w:rFonts w:hint="eastAsia" w:eastAsia="仿宋_GB2312"/>
          <w:color w:val="000000"/>
          <w:sz w:val="28"/>
          <w:szCs w:val="28"/>
          <w:lang w:eastAsia="zh-CN"/>
        </w:rPr>
        <w:t>〕</w:t>
      </w:r>
      <w:r>
        <w:rPr>
          <w:rFonts w:hint="eastAsia" w:eastAsia="仿宋_GB2312"/>
          <w:color w:val="000000"/>
          <w:sz w:val="28"/>
          <w:szCs w:val="28"/>
        </w:rPr>
        <w:t>264号）、《重庆对外建设（集团）有限公司 关于加强项目诚信评价管理工作的通知》（渝外建发</w:t>
      </w:r>
      <w:r>
        <w:rPr>
          <w:rFonts w:hint="eastAsia" w:eastAsia="仿宋_GB2312"/>
          <w:color w:val="000000"/>
          <w:sz w:val="28"/>
          <w:szCs w:val="28"/>
          <w:lang w:eastAsia="zh-CN"/>
        </w:rPr>
        <w:t>〔</w:t>
      </w:r>
      <w:r>
        <w:rPr>
          <w:rFonts w:hint="eastAsia" w:eastAsia="仿宋_GB2312"/>
          <w:color w:val="000000"/>
          <w:sz w:val="28"/>
          <w:szCs w:val="28"/>
          <w:lang w:val="en-US" w:eastAsia="zh-CN"/>
        </w:rPr>
        <w:t>2015</w:t>
      </w:r>
      <w:r>
        <w:rPr>
          <w:rFonts w:hint="eastAsia" w:eastAsia="仿宋_GB2312"/>
          <w:color w:val="000000"/>
          <w:sz w:val="28"/>
          <w:szCs w:val="28"/>
          <w:lang w:eastAsia="zh-CN"/>
        </w:rPr>
        <w:t>〕</w:t>
      </w:r>
      <w:r>
        <w:rPr>
          <w:rFonts w:hint="eastAsia" w:eastAsia="仿宋_GB2312"/>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highlight w:val="yellow"/>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lang w:eastAsia="zh-CN"/>
        </w:rPr>
        <w:t>①</w:t>
      </w:r>
      <w:r>
        <w:rPr>
          <w:rFonts w:hint="eastAsia" w:eastAsia="仿宋_GB2312"/>
          <w:sz w:val="28"/>
          <w:szCs w:val="28"/>
        </w:rPr>
        <w:t>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lang w:eastAsia="zh-CN"/>
        </w:rPr>
        <w:t>②</w:t>
      </w:r>
      <w:r>
        <w:rPr>
          <w:rFonts w:hint="eastAsia" w:eastAsia="仿宋_GB2312"/>
          <w:sz w:val="28"/>
          <w:szCs w:val="28"/>
        </w:rPr>
        <w:t>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lang w:eastAsia="zh-CN"/>
        </w:rPr>
        <w:t>③</w:t>
      </w:r>
      <w:r>
        <w:rPr>
          <w:rFonts w:hint="eastAsia" w:eastAsia="仿宋_GB2312"/>
          <w:sz w:val="28"/>
          <w:szCs w:val="28"/>
        </w:rPr>
        <w:t>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lang w:eastAsia="zh-CN"/>
        </w:rPr>
        <w:t>④</w:t>
      </w:r>
      <w:r>
        <w:rPr>
          <w:rFonts w:hint="eastAsia" w:eastAsia="仿宋_GB2312"/>
          <w:sz w:val="28"/>
          <w:szCs w:val="28"/>
        </w:rPr>
        <w:t>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lang w:eastAsia="zh-CN"/>
        </w:rPr>
        <w:t>⑤</w:t>
      </w:r>
      <w:r>
        <w:rPr>
          <w:rFonts w:hint="eastAsia" w:eastAsia="仿宋_GB2312"/>
          <w:sz w:val="28"/>
          <w:szCs w:val="28"/>
        </w:rPr>
        <w:t>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w:t>
      </w:r>
      <w:r>
        <w:rPr>
          <w:rFonts w:hint="eastAsia" w:eastAsia="仿宋_GB2312"/>
          <w:sz w:val="28"/>
          <w:szCs w:val="28"/>
          <w:highlight w:val="yellow"/>
        </w:rPr>
        <w:t>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highlight w:val="yellow"/>
        </w:rPr>
      </w:pPr>
      <w:r>
        <w:rPr>
          <w:rFonts w:hint="eastAsia" w:eastAsia="仿宋_GB2312"/>
          <w:sz w:val="28"/>
          <w:szCs w:val="28"/>
          <w:highlight w:val="yellow"/>
          <w:lang w:val="en-US" w:eastAsia="zh-CN"/>
        </w:rPr>
        <w:t>23、</w:t>
      </w:r>
      <w:r>
        <w:rPr>
          <w:rFonts w:hint="eastAsia" w:eastAsia="仿宋_GB2312"/>
          <w:sz w:val="28"/>
          <w:szCs w:val="28"/>
          <w:highlight w:val="yellow"/>
        </w:rPr>
        <w:t>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right="-25" w:firstLine="630" w:firstLineChars="225"/>
        <w:rPr>
          <w:rFonts w:hint="eastAsia" w:eastAsia="仿宋_GB2312"/>
          <w:sz w:val="28"/>
          <w:szCs w:val="28"/>
          <w:highlight w:val="yellow"/>
        </w:rPr>
      </w:pPr>
      <w:r>
        <w:rPr>
          <w:rFonts w:hint="eastAsia" w:eastAsia="仿宋_GB2312"/>
          <w:sz w:val="28"/>
          <w:szCs w:val="28"/>
          <w:highlight w:val="yellow"/>
          <w:lang w:val="en-US" w:eastAsia="zh-CN"/>
        </w:rPr>
        <w:t>24、</w:t>
      </w:r>
      <w:r>
        <w:rPr>
          <w:rFonts w:hint="eastAsia" w:eastAsia="仿宋_GB2312"/>
          <w:sz w:val="28"/>
          <w:szCs w:val="28"/>
          <w:highlight w:val="yellow"/>
        </w:rPr>
        <w:t>因乙方原理，导致乙方农民工工资发生金额大于甲方对乙方当期产值确认金额，由乙方自行将超支金额打入甲方农民工专户进行发放。</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25、乙方承诺、保证并同意：</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①政府的官员、员工和代表，以及代表政府行事的其他人员（或其他被授权行使公权力的人员）；</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②国际组织的领导、官员和代表；</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③政府机构候选人，政党领导、员工和代表，王室成员；</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④国有或国家控股公司或实体的官员和员工；</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 xml:space="preserve">⑤上述人员的近亲属或紧密关系人。 </w:t>
      </w:r>
    </w:p>
    <w:p>
      <w:pPr>
        <w:spacing w:line="440" w:lineRule="exact"/>
        <w:ind w:right="-25" w:firstLine="630" w:firstLineChars="225"/>
        <w:rPr>
          <w:rFonts w:hint="eastAsia" w:ascii="Times New Roman" w:hAnsi="Times New Roman" w:eastAsia="仿宋_GB2312"/>
          <w:sz w:val="28"/>
          <w:szCs w:val="28"/>
          <w:highlight w:val="yellow"/>
          <w:lang w:val="en-US" w:eastAsia="zh-CN"/>
        </w:rPr>
      </w:pPr>
      <w:r>
        <w:rPr>
          <w:rFonts w:hint="eastAsia" w:ascii="Times New Roman" w:hAnsi="Times New Roman" w:eastAsia="仿宋_GB2312"/>
          <w:sz w:val="28"/>
          <w:szCs w:val="28"/>
          <w:highlight w:val="yellow"/>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hint="eastAsia"/>
        </w:rPr>
      </w:pPr>
      <w:r>
        <w:rPr>
          <w:rFonts w:hint="eastAsia" w:ascii="Times New Roman" w:hAnsi="Times New Roman" w:eastAsia="仿宋_GB2312"/>
          <w:sz w:val="28"/>
          <w:szCs w:val="28"/>
          <w:highlight w:val="yellow"/>
          <w:lang w:val="en-US" w:eastAsia="zh-CN"/>
        </w:rPr>
        <w:t>（4）违反上述规定，甲方有权立即解除合同并追偿损失。</w:t>
      </w:r>
    </w:p>
    <w:p>
      <w:pPr>
        <w:spacing w:line="440" w:lineRule="exact"/>
        <w:ind w:firstLine="632" w:firstLineChars="225"/>
        <w:outlineLvl w:val="0"/>
        <w:rPr>
          <w:rFonts w:hint="eastAsia"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w:t>
      </w:r>
      <w:r>
        <w:rPr>
          <w:rFonts w:hint="eastAsia" w:eastAsia="仿宋_GB2312"/>
          <w:sz w:val="28"/>
          <w:szCs w:val="28"/>
          <w:highlight w:val="yellow"/>
        </w:rPr>
        <w:t>根据设计图纸及现场实际完成情况，</w:t>
      </w:r>
      <w:r>
        <w:rPr>
          <w:rFonts w:hint="eastAsia" w:eastAsia="仿宋_GB2312"/>
          <w:sz w:val="28"/>
          <w:szCs w:val="28"/>
        </w:rPr>
        <w:t>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ascii="仿宋" w:hAnsi="仿宋" w:eastAsia="仿宋" w:cs="仿宋"/>
          <w:sz w:val="28"/>
          <w:szCs w:val="28"/>
          <w:highlight w:val="yellow"/>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lang w:val="en-US" w:eastAsia="zh-CN"/>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highlight w:val="yellow"/>
          <w:lang w:eastAsia="zh-CN"/>
        </w:rPr>
      </w:pPr>
      <w:r>
        <w:rPr>
          <w:rFonts w:hint="eastAsia" w:eastAsia="仿宋_GB2312"/>
          <w:sz w:val="28"/>
          <w:szCs w:val="28"/>
          <w:highlight w:val="yellow"/>
          <w:lang w:eastAsia="zh-CN"/>
        </w:rPr>
        <w:t>（</w:t>
      </w:r>
      <w:r>
        <w:rPr>
          <w:rFonts w:hint="eastAsia" w:eastAsia="仿宋_GB2312"/>
          <w:sz w:val="28"/>
          <w:szCs w:val="28"/>
          <w:highlight w:val="yellow"/>
          <w:lang w:val="en-US" w:eastAsia="zh-CN"/>
        </w:rPr>
        <w:t>1</w:t>
      </w:r>
      <w:r>
        <w:rPr>
          <w:rFonts w:hint="eastAsia" w:eastAsia="仿宋_GB2312"/>
          <w:sz w:val="28"/>
          <w:szCs w:val="28"/>
          <w:highlight w:val="yellow"/>
          <w:lang w:eastAsia="zh-CN"/>
        </w:rPr>
        <w:t>）本工程承包方式为固定综合单价合同（不含税），以中标总价加上相应税费作为暂定的合同总价。</w:t>
      </w:r>
    </w:p>
    <w:p>
      <w:pPr>
        <w:spacing w:line="440" w:lineRule="exact"/>
        <w:ind w:firstLine="560" w:firstLineChars="200"/>
        <w:rPr>
          <w:rFonts w:eastAsia="仿宋_GB2312"/>
          <w:color w:val="auto"/>
          <w:sz w:val="28"/>
          <w:szCs w:val="28"/>
          <w:highlight w:val="none"/>
        </w:rPr>
      </w:pPr>
      <w:r>
        <w:rPr>
          <w:rFonts w:hint="eastAsia" w:eastAsia="仿宋_GB2312"/>
          <w:color w:val="auto"/>
          <w:sz w:val="28"/>
          <w:szCs w:val="28"/>
          <w:highlight w:val="yellow"/>
          <w:lang w:eastAsia="zh-CN"/>
        </w:rPr>
        <w:t>（</w:t>
      </w:r>
      <w:r>
        <w:rPr>
          <w:rFonts w:hint="eastAsia" w:eastAsia="仿宋_GB2312"/>
          <w:color w:val="auto"/>
          <w:sz w:val="28"/>
          <w:szCs w:val="28"/>
          <w:highlight w:val="yellow"/>
          <w:lang w:val="en-US" w:eastAsia="zh-CN"/>
        </w:rPr>
        <w:t>2</w:t>
      </w:r>
      <w:r>
        <w:rPr>
          <w:rFonts w:hint="eastAsia" w:eastAsia="仿宋_GB2312"/>
          <w:color w:val="auto"/>
          <w:sz w:val="28"/>
          <w:szCs w:val="28"/>
          <w:highlight w:val="yellow"/>
          <w:lang w:eastAsia="zh-CN"/>
        </w:rPr>
        <w:t>）</w:t>
      </w:r>
      <w:r>
        <w:rPr>
          <w:rFonts w:hint="eastAsia" w:eastAsia="仿宋_GB2312"/>
          <w:color w:val="auto"/>
          <w:sz w:val="28"/>
          <w:szCs w:val="28"/>
          <w:highlight w:val="yellow"/>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eastAsia="仿宋_GB2312"/>
          <w:sz w:val="28"/>
          <w:szCs w:val="28"/>
        </w:rPr>
      </w:pPr>
      <w:r>
        <w:rPr>
          <w:rFonts w:hint="eastAsia" w:eastAsia="仿宋_GB2312"/>
          <w:sz w:val="28"/>
          <w:szCs w:val="28"/>
        </w:rPr>
        <w:t>4、合同价款支付：XXXXXX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w:t>
      </w:r>
      <w:r>
        <w:rPr>
          <w:rFonts w:hint="eastAsia" w:eastAsia="仿宋_GB2312"/>
          <w:b/>
          <w:sz w:val="28"/>
          <w:szCs w:val="28"/>
          <w:highlight w:val="none"/>
        </w:rPr>
        <w:t>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eastAsia="仿宋_GB2312"/>
          <w:color w:val="000000"/>
          <w:sz w:val="28"/>
          <w:szCs w:val="28"/>
        </w:rPr>
      </w:pPr>
      <w:r>
        <w:rPr>
          <w:rFonts w:hint="eastAsia" w:eastAsia="仿宋_GB2312"/>
          <w:color w:val="000000"/>
          <w:sz w:val="28"/>
          <w:szCs w:val="28"/>
        </w:rPr>
        <w:t>质量保修期自本工程全部竣工验收并取得建设行政主管部门备案验收手续开始计算。</w:t>
      </w:r>
      <w:r>
        <w:rPr>
          <w:rFonts w:hint="eastAsia" w:eastAsia="方正楷体_GBK"/>
          <w:i/>
          <w:iCs w:val="0"/>
          <w:color w:val="622423"/>
          <w:sz w:val="28"/>
          <w:szCs w:val="28"/>
          <w:u w:val="single"/>
        </w:rPr>
        <w:t>｛</w:t>
      </w:r>
      <w:r>
        <w:rPr>
          <w:rFonts w:hint="eastAsia" w:eastAsia="方正楷体_GBK"/>
          <w:i/>
          <w:iCs w:val="0"/>
          <w:color w:val="622423"/>
          <w:sz w:val="28"/>
          <w:szCs w:val="28"/>
          <w:u w:val="single"/>
          <w:lang w:val="en-US" w:eastAsia="zh-CN"/>
        </w:rPr>
        <w:t>2017</w:t>
      </w:r>
      <w:r>
        <w:rPr>
          <w:rFonts w:hint="eastAsia" w:eastAsia="方正楷体_GBK"/>
          <w:i/>
          <w:iCs w:val="0"/>
          <w:color w:val="622423"/>
          <w:sz w:val="28"/>
          <w:szCs w:val="28"/>
          <w:u w:val="single"/>
        </w:rPr>
        <w:t>解释：《建设工程质量管理条例》第四十条：“建设工程的保修期，自竣工验收合格之日起计算。”因此，此条款至少应满足法规，当（主合同）《施工承包合同》有更严格的规定时，应从其规定。｝</w:t>
      </w:r>
    </w:p>
    <w:p>
      <w:pPr>
        <w:spacing w:line="440" w:lineRule="exact"/>
        <w:ind w:firstLine="627" w:firstLineChars="224"/>
        <w:rPr>
          <w:rFonts w:eastAsia="仿宋_GB2312"/>
          <w:sz w:val="28"/>
          <w:szCs w:val="28"/>
        </w:rPr>
      </w:pP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sz w:val="28"/>
          <w:szCs w:val="28"/>
          <w:u w:val="single"/>
        </w:rPr>
        <w:t xml:space="preserve"> </w:t>
      </w:r>
      <w:r>
        <w:rPr>
          <w:rFonts w:eastAsia="仿宋_GB2312"/>
          <w:color w:val="000000"/>
          <w:sz w:val="28"/>
          <w:szCs w:val="28"/>
          <w:u w:val="single"/>
        </w:rPr>
        <w:t>2</w:t>
      </w:r>
      <w:r>
        <w:rPr>
          <w:rFonts w:hint="eastAsia" w:eastAsia="仿宋_GB2312"/>
          <w:color w:val="000000"/>
          <w:sz w:val="28"/>
          <w:szCs w:val="28"/>
          <w:u w:val="single"/>
        </w:rPr>
        <w:t xml:space="preserve"> </w:t>
      </w:r>
      <w:r>
        <w:rPr>
          <w:rFonts w:hint="eastAsia" w:eastAsia="仿宋_GB2312"/>
          <w:color w:val="000000"/>
          <w:sz w:val="28"/>
          <w:szCs w:val="28"/>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sz w:val="28"/>
          <w:szCs w:val="28"/>
        </w:rPr>
      </w:pPr>
      <w:r>
        <w:rPr>
          <w:rFonts w:hint="eastAsia" w:eastAsia="仿宋_GB2312"/>
          <w:color w:val="000000"/>
          <w:sz w:val="28"/>
          <w:szCs w:val="28"/>
        </w:rPr>
        <w:t>本合同正本一式</w:t>
      </w:r>
      <w:r>
        <w:rPr>
          <w:rFonts w:hint="eastAsia" w:eastAsia="仿宋_GB2312"/>
          <w:color w:val="000000"/>
          <w:sz w:val="28"/>
          <w:szCs w:val="28"/>
          <w:u w:val="single"/>
        </w:rPr>
        <w:t xml:space="preserve"> 2 </w:t>
      </w:r>
      <w:r>
        <w:rPr>
          <w:rFonts w:hint="eastAsia" w:eastAsia="仿宋_GB2312"/>
          <w:color w:val="000000"/>
          <w:sz w:val="28"/>
          <w:szCs w:val="28"/>
        </w:rPr>
        <w:t>份，甲乙双方各执</w:t>
      </w:r>
      <w:r>
        <w:rPr>
          <w:rFonts w:hint="eastAsia" w:eastAsia="仿宋_GB2312"/>
          <w:color w:val="000000"/>
          <w:sz w:val="28"/>
          <w:szCs w:val="28"/>
          <w:u w:val="single"/>
        </w:rPr>
        <w:t xml:space="preserve"> 1 </w:t>
      </w:r>
      <w:r>
        <w:rPr>
          <w:rFonts w:hint="eastAsia" w:eastAsia="仿宋_GB2312"/>
          <w:color w:val="000000"/>
          <w:sz w:val="28"/>
          <w:szCs w:val="28"/>
        </w:rPr>
        <w:t>份；副本一式</w:t>
      </w:r>
      <w:r>
        <w:rPr>
          <w:rFonts w:hint="eastAsia" w:eastAsia="仿宋_GB2312"/>
          <w:color w:val="000000"/>
          <w:sz w:val="28"/>
          <w:szCs w:val="28"/>
          <w:u w:val="single"/>
        </w:rPr>
        <w:t xml:space="preserve"> 4 </w:t>
      </w:r>
      <w:r>
        <w:rPr>
          <w:rFonts w:hint="eastAsia" w:eastAsia="仿宋_GB2312"/>
          <w:color w:val="000000"/>
          <w:sz w:val="28"/>
          <w:szCs w:val="28"/>
        </w:rPr>
        <w:t>乙方执</w:t>
      </w:r>
      <w:r>
        <w:rPr>
          <w:rFonts w:hint="eastAsia" w:eastAsia="仿宋_GB2312"/>
          <w:color w:val="000000"/>
          <w:sz w:val="28"/>
          <w:szCs w:val="28"/>
          <w:u w:val="single"/>
        </w:rPr>
        <w:t xml:space="preserve"> 2 </w:t>
      </w:r>
      <w:r>
        <w:rPr>
          <w:rFonts w:hint="eastAsia" w:eastAsia="仿宋_GB2312"/>
          <w:color w:val="000000"/>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1、乙方应在本合同签订后5个工作日内向甲方交纳履约、质量、工期、安全文明施工履约保证金人民币（大写）______万____元_角_分（小写）________万元（合同金额的___%）（不计息）</w:t>
      </w:r>
      <w:r>
        <w:rPr>
          <w:rFonts w:hint="eastAsia" w:eastAsia="方正楷体_GBK"/>
          <w:i/>
          <w:iCs w:val="0"/>
          <w:color w:val="622423"/>
          <w:sz w:val="28"/>
          <w:szCs w:val="28"/>
          <w:u w:val="single"/>
        </w:rPr>
        <w:t>{要求：不低于合同金额的1%}</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sz w:val="28"/>
          <w:szCs w:val="28"/>
        </w:rPr>
      </w:pPr>
      <w:r>
        <w:rPr>
          <w:rFonts w:hint="eastAsia" w:eastAsia="仿宋_GB2312"/>
          <w:color w:val="000000"/>
          <w:sz w:val="28"/>
          <w:szCs w:val="28"/>
        </w:rPr>
        <w:t>4、若</w:t>
      </w:r>
      <w:r>
        <w:rPr>
          <w:rFonts w:eastAsia="仿宋_GB2312"/>
          <w:color w:val="000000"/>
          <w:sz w:val="28"/>
          <w:szCs w:val="28"/>
        </w:rPr>
        <w:t>分包单位发生安全生产事故，其</w:t>
      </w:r>
      <w:r>
        <w:rPr>
          <w:rFonts w:hint="eastAsia" w:eastAsia="仿宋_GB2312"/>
          <w:color w:val="000000"/>
          <w:sz w:val="28"/>
          <w:szCs w:val="28"/>
        </w:rPr>
        <w:t>履约</w:t>
      </w:r>
      <w:r>
        <w:rPr>
          <w:rFonts w:eastAsia="仿宋_GB2312"/>
          <w:color w:val="000000"/>
          <w:sz w:val="28"/>
          <w:szCs w:val="28"/>
        </w:rPr>
        <w:t>保证金自动转为安全生产保证金，按</w:t>
      </w:r>
      <w:r>
        <w:rPr>
          <w:rFonts w:hint="eastAsia" w:eastAsia="仿宋_GB2312"/>
          <w:color w:val="000000"/>
          <w:sz w:val="28"/>
          <w:szCs w:val="28"/>
        </w:rPr>
        <w:t>合同</w:t>
      </w:r>
      <w:r>
        <w:rPr>
          <w:rFonts w:eastAsia="仿宋_GB2312"/>
          <w:color w:val="000000"/>
          <w:sz w:val="28"/>
          <w:szCs w:val="28"/>
        </w:rPr>
        <w:t>附件《</w:t>
      </w:r>
      <w:r>
        <w:rPr>
          <w:rFonts w:hint="eastAsia" w:eastAsia="仿宋_GB2312"/>
          <w:color w:val="000000"/>
          <w:sz w:val="28"/>
          <w:szCs w:val="28"/>
        </w:rPr>
        <w:t>工程项目安全生产协议》“第</w:t>
      </w:r>
      <w:r>
        <w:rPr>
          <w:rFonts w:eastAsia="仿宋_GB2312"/>
          <w:color w:val="000000"/>
          <w:sz w:val="28"/>
          <w:szCs w:val="28"/>
        </w:rPr>
        <w:t>四条</w:t>
      </w:r>
      <w:r>
        <w:rPr>
          <w:rFonts w:hint="eastAsia" w:eastAsia="仿宋_GB2312"/>
          <w:color w:val="000000"/>
          <w:sz w:val="28"/>
          <w:szCs w:val="28"/>
        </w:rPr>
        <w:t xml:space="preserve"> 施工安全保证金”</w:t>
      </w:r>
      <w:r>
        <w:rPr>
          <w:rFonts w:eastAsia="仿宋_GB2312"/>
          <w:color w:val="000000"/>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i/>
          <w:color w:val="C00000"/>
          <w:sz w:val="28"/>
          <w:szCs w:val="28"/>
          <w:u w:val="single"/>
          <w:lang w:eastAsia="zh-CN"/>
        </w:rPr>
      </w:pPr>
      <w:r>
        <w:rPr>
          <w:rFonts w:hint="eastAsia" w:eastAsia="仿宋_GB2312"/>
          <w:bCs/>
          <w:sz w:val="28"/>
          <w:szCs w:val="28"/>
          <w:lang w:eastAsia="zh-CN"/>
        </w:rPr>
        <w:t>合同</w:t>
      </w:r>
      <w:r>
        <w:rPr>
          <w:rFonts w:hint="eastAsia" w:eastAsia="仿宋_GB2312"/>
          <w:bCs/>
          <w:sz w:val="28"/>
          <w:szCs w:val="28"/>
        </w:rPr>
        <w:t>附件：</w:t>
      </w:r>
      <w:r>
        <w:rPr>
          <w:rFonts w:hint="eastAsia" w:eastAsia="仿宋_GB2312"/>
          <w:bCs/>
          <w:sz w:val="28"/>
          <w:szCs w:val="28"/>
          <w:lang w:val="en-US" w:eastAsia="zh-CN"/>
        </w:rPr>
        <w:t>1.</w:t>
      </w:r>
      <w:r>
        <w:rPr>
          <w:rFonts w:hint="eastAsia" w:eastAsia="仿宋_GB2312"/>
          <w:bCs/>
          <w:sz w:val="28"/>
          <w:szCs w:val="28"/>
        </w:rPr>
        <w:t>_____________（填：合同名称）合同清单</w:t>
      </w:r>
      <w:r>
        <w:rPr>
          <w:rFonts w:hint="eastAsia" w:eastAsia="仿宋_GB2312"/>
          <w:bCs/>
          <w:i/>
          <w:color w:val="C00000"/>
          <w:sz w:val="28"/>
          <w:szCs w:val="28"/>
          <w:u w:val="single"/>
          <w:lang w:eastAsia="zh-CN"/>
        </w:rPr>
        <w:t>（见</w:t>
      </w:r>
      <w:r>
        <w:rPr>
          <w:rFonts w:hint="eastAsia" w:eastAsia="仿宋_GB2312"/>
          <w:bCs/>
          <w:i/>
          <w:color w:val="C00000"/>
          <w:sz w:val="28"/>
          <w:szCs w:val="28"/>
          <w:u w:val="single"/>
          <w:lang w:val="en-US" w:eastAsia="zh-CN"/>
        </w:rPr>
        <w:t>excel文件</w:t>
      </w:r>
      <w:r>
        <w:rPr>
          <w:rFonts w:hint="eastAsia" w:eastAsia="仿宋_GB2312"/>
          <w:bCs/>
          <w:i/>
          <w:color w:val="C00000"/>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sz w:val="28"/>
          <w:szCs w:val="28"/>
          <w:lang w:val="en-US" w:eastAsia="zh-CN"/>
        </w:rPr>
      </w:pPr>
      <w:r>
        <w:rPr>
          <w:rFonts w:hint="eastAsia" w:eastAsia="仿宋_GB2312"/>
          <w:bCs/>
          <w:sz w:val="28"/>
          <w:szCs w:val="28"/>
          <w:lang w:val="en-US" w:eastAsia="zh-CN"/>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hint="eastAsia" w:ascii="Times New Roman" w:hAnsi="Times New Roman" w:eastAsia="仿宋" w:cs="Times New Roman"/>
          <w:kern w:val="0"/>
          <w:sz w:val="28"/>
          <w:szCs w:val="28"/>
          <w:lang w:val="en-US" w:eastAsia="zh-CN"/>
        </w:rPr>
      </w:pPr>
      <w:r>
        <w:rPr>
          <w:rFonts w:hint="eastAsia" w:eastAsia="仿宋_GB2312"/>
          <w:sz w:val="28"/>
          <w:szCs w:val="28"/>
        </w:rPr>
        <w:t>签订日期：</w:t>
      </w:r>
    </w:p>
    <w:p>
      <w:pPr>
        <w:spacing w:line="360" w:lineRule="auto"/>
        <w:outlineLvl w:val="0"/>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pgNumType w:start="1"/>
          <w:cols w:space="720"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spacing w:line="360" w:lineRule="auto"/>
        <w:ind w:firstLine="560" w:firstLineChars="200"/>
        <w:outlineLvl w:val="0"/>
        <w:rPr>
          <w:rFonts w:hint="eastAsia"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sz w:val="28"/>
          <w:szCs w:val="28"/>
          <w:lang w:val="en-US" w:eastAsia="zh-CN"/>
        </w:rPr>
      </w:pPr>
      <w:r>
        <w:rPr>
          <w:rFonts w:hint="eastAsia" w:eastAsia="仿宋_GB2312"/>
          <w:bCs/>
          <w:sz w:val="28"/>
          <w:szCs w:val="28"/>
          <w:lang w:val="en-US" w:eastAsia="zh-CN"/>
        </w:rPr>
        <w:t>专业分包合同附件2. 安全生产协议</w:t>
      </w:r>
    </w:p>
    <w:p>
      <w:pPr>
        <w:widowControl/>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______</w:t>
      </w:r>
      <w:r>
        <w:rPr>
          <w:rFonts w:hint="eastAsia" w:eastAsia="黑体" w:cs="Times New Roman"/>
          <w:color w:val="622423"/>
          <w:sz w:val="36"/>
          <w:szCs w:val="28"/>
          <w:u w:val="single"/>
          <w:lang w:eastAsia="zh-CN"/>
        </w:rPr>
        <w:t>（填：项目名称）</w:t>
      </w:r>
      <w:r>
        <w:rPr>
          <w:rFonts w:hint="eastAsia" w:ascii="黑体" w:hAnsi="宋体" w:eastAsia="黑体"/>
          <w:color w:val="000000"/>
          <w:sz w:val="36"/>
          <w:szCs w:val="36"/>
        </w:rPr>
        <w:t>工程项目安全生产协议</w:t>
      </w:r>
    </w:p>
    <w:p>
      <w:pPr>
        <w:spacing w:line="440" w:lineRule="exact"/>
        <w:rPr>
          <w:rFonts w:eastAsia="仿宋_GB2312"/>
          <w:b/>
          <w:color w:val="000000"/>
          <w:sz w:val="28"/>
          <w:szCs w:val="28"/>
        </w:rPr>
      </w:pPr>
      <w:r>
        <w:rPr>
          <w:rFonts w:hint="eastAsia" w:eastAsia="仿宋_GB2312"/>
          <w:b/>
          <w:color w:val="000000"/>
          <w:sz w:val="28"/>
          <w:szCs w:val="28"/>
        </w:rPr>
        <w:t>甲方：</w:t>
      </w:r>
      <w:r>
        <w:rPr>
          <w:rFonts w:hint="eastAsia" w:eastAsia="仿宋_GB2312"/>
          <w:b/>
          <w:color w:val="000000"/>
          <w:sz w:val="28"/>
          <w:szCs w:val="28"/>
          <w:u w:val="single"/>
        </w:rPr>
        <w:t xml:space="preserve">  重庆对外建设（集团）有限公司  </w:t>
      </w:r>
    </w:p>
    <w:p>
      <w:pPr>
        <w:tabs>
          <w:tab w:val="left" w:pos="670"/>
          <w:tab w:val="center" w:pos="4252"/>
        </w:tabs>
        <w:spacing w:line="440" w:lineRule="exact"/>
        <w:rPr>
          <w:rFonts w:eastAsia="仿宋_GB2312"/>
          <w:b/>
          <w:color w:val="000000"/>
          <w:sz w:val="28"/>
          <w:szCs w:val="28"/>
        </w:rPr>
      </w:pPr>
      <w:r>
        <w:rPr>
          <w:rFonts w:hint="eastAsia" w:eastAsia="仿宋_GB2312"/>
          <w:b/>
          <w:color w:val="000000"/>
          <w:sz w:val="28"/>
          <w:szCs w:val="28"/>
        </w:rPr>
        <w:t>乙方：</w:t>
      </w:r>
      <w:r>
        <w:rPr>
          <w:rFonts w:hint="eastAsia" w:eastAsia="仿宋_GB2312"/>
          <w:b/>
          <w:color w:val="000000"/>
          <w:sz w:val="28"/>
          <w:szCs w:val="28"/>
          <w:u w:val="single"/>
        </w:rPr>
        <w:t xml:space="preserve"> ___________</w:t>
      </w:r>
      <w:r>
        <w:rPr>
          <w:rFonts w:hint="eastAsia" w:eastAsia="仿宋_GB2312"/>
          <w:bCs/>
          <w:color w:val="632423"/>
          <w:sz w:val="28"/>
          <w:szCs w:val="28"/>
          <w:u w:val="single"/>
        </w:rPr>
        <w:t>XXXX____</w:t>
      </w:r>
      <w:r>
        <w:rPr>
          <w:rFonts w:eastAsia="仿宋_GB2312"/>
          <w:bCs/>
          <w:color w:val="632423"/>
          <w:sz w:val="28"/>
          <w:szCs w:val="28"/>
          <w:u w:val="single"/>
        </w:rPr>
        <w:t>有限公司</w:t>
      </w:r>
      <w:r>
        <w:rPr>
          <w:rFonts w:hint="eastAsia" w:eastAsia="仿宋_GB2312"/>
          <w:b/>
          <w:color w:val="000000"/>
          <w:sz w:val="28"/>
          <w:szCs w:val="28"/>
          <w:u w:val="single"/>
        </w:rPr>
        <w:t xml:space="preserve">  </w:t>
      </w:r>
      <w:r>
        <w:rPr>
          <w:rFonts w:hint="eastAsia" w:eastAsia="仿宋_GB2312"/>
          <w:bCs/>
          <w:color w:val="000000"/>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一、工程概况：</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1、工程名称：</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2、工程地址：</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二、协议期限：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（1）发生人身死亡事故或设备重大事故，扣除全部安全保证金；</w:t>
      </w:r>
    </w:p>
    <w:p>
      <w:pPr>
        <w:spacing w:line="440" w:lineRule="exact"/>
        <w:rPr>
          <w:rFonts w:eastAsia="仿宋_GB2312"/>
          <w:color w:val="000000"/>
          <w:sz w:val="28"/>
          <w:szCs w:val="28"/>
        </w:rPr>
      </w:pPr>
      <w:r>
        <w:rPr>
          <w:rFonts w:hint="eastAsia" w:eastAsia="仿宋_GB2312"/>
          <w:color w:val="000000"/>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考核奖惩办法》、《重庆对外建设（集团）有限公司 安全处罚实施细则》（详见本协议附件）、</w:t>
      </w:r>
      <w:r>
        <w:rPr>
          <w:rFonts w:hint="eastAsia" w:ascii="Times New Roman" w:hAnsi="Times New Roman" w:eastAsia="仿宋_GB2312" w:cs="Times New Roman"/>
          <w:color w:val="0000FF"/>
          <w:sz w:val="28"/>
          <w:szCs w:val="28"/>
          <w:u w:val="single"/>
        </w:rPr>
        <w:t>《外建__XXXX__</w:t>
      </w:r>
      <w:r>
        <w:rPr>
          <w:rFonts w:hint="eastAsia" w:ascii="Times New Roman" w:hAnsi="Times New Roman" w:eastAsia="仿宋_GB2312" w:cs="Times New Roman"/>
          <w:color w:val="0000FF"/>
          <w:sz w:val="28"/>
          <w:szCs w:val="28"/>
          <w:u w:val="single"/>
          <w:lang w:eastAsia="zh-CN"/>
        </w:rPr>
        <w:t>分公司</w:t>
      </w:r>
      <w:r>
        <w:rPr>
          <w:rFonts w:hint="eastAsia" w:ascii="Times New Roman" w:hAnsi="Times New Roman" w:eastAsia="仿宋_GB2312" w:cs="Times New Roman"/>
          <w:color w:val="0000FF"/>
          <w:sz w:val="28"/>
          <w:szCs w:val="28"/>
          <w:u w:val="single"/>
        </w:rPr>
        <w:t xml:space="preserve"> 安全处罚条款》</w:t>
      </w:r>
      <w:r>
        <w:rPr>
          <w:rFonts w:hint="eastAsia" w:ascii="Times New Roman" w:hAnsi="Times New Roman" w:eastAsia="方正楷体_GBK" w:cs="Times New Roman"/>
          <w:iCs/>
          <w:color w:val="C00000"/>
          <w:sz w:val="28"/>
          <w:szCs w:val="28"/>
          <w:u w:val="single"/>
        </w:rPr>
        <w:t>｛注意填写：</w:t>
      </w:r>
      <w:r>
        <w:rPr>
          <w:rFonts w:hint="eastAsia" w:ascii="Times New Roman" w:hAnsi="Times New Roman" w:eastAsia="方正楷体_GBK" w:cs="Times New Roman"/>
          <w:iCs/>
          <w:color w:val="C00000"/>
          <w:sz w:val="28"/>
          <w:szCs w:val="28"/>
          <w:u w:val="single"/>
          <w:lang w:eastAsia="zh-CN"/>
        </w:rPr>
        <w:t>分公司负责</w:t>
      </w:r>
      <w:r>
        <w:rPr>
          <w:rFonts w:hint="eastAsia" w:ascii="Times New Roman" w:hAnsi="Times New Roman" w:eastAsia="方正楷体_GBK" w:cs="Times New Roman"/>
          <w:iCs/>
          <w:color w:val="C00000"/>
          <w:sz w:val="28"/>
          <w:szCs w:val="28"/>
          <w:u w:val="single"/>
        </w:rPr>
        <w:t>填写并必须将处罚条款附件附后。｝</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五、 违约责任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2、合同履行中，发现乙方提供的有关资质材料无效，甲方有权解除分</w:t>
      </w:r>
      <w:r>
        <w:rPr>
          <w:rFonts w:ascii="Times New Roman" w:hAnsi="Times New Roman" w:eastAsia="仿宋_GB2312" w:cs="Times New Roman"/>
          <w:color w:val="000000"/>
          <w:sz w:val="28"/>
          <w:szCs w:val="28"/>
        </w:rPr>
        <w:t>包</w:t>
      </w:r>
      <w:r>
        <w:rPr>
          <w:rFonts w:hint="eastAsia" w:ascii="Times New Roman" w:hAnsi="Times New Roman" w:eastAsia="仿宋_GB2312" w:cs="Times New Roman"/>
          <w:color w:val="000000"/>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 xml:space="preserve">六、 </w:t>
      </w:r>
      <w:r>
        <w:rPr>
          <w:rFonts w:hint="eastAsia" w:ascii="Times New Roman" w:hAnsi="Times New Roman" w:eastAsia="仿宋_GB2312"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kern w:val="0"/>
          <w:sz w:val="28"/>
          <w:szCs w:val="28"/>
        </w:rPr>
      </w:pPr>
      <w:r>
        <w:rPr>
          <w:rFonts w:hint="eastAsia" w:eastAsia="仿宋_GB2312"/>
          <w:b/>
          <w:bCs/>
          <w:color w:val="000000"/>
          <w:kern w:val="0"/>
          <w:sz w:val="28"/>
          <w:szCs w:val="28"/>
        </w:rPr>
        <w:t>七、</w:t>
      </w:r>
      <w:r>
        <w:rPr>
          <w:rFonts w:hint="eastAsia" w:eastAsia="仿宋_GB2312"/>
          <w:color w:val="000000"/>
          <w:kern w:val="0"/>
          <w:sz w:val="28"/>
          <w:szCs w:val="28"/>
        </w:rPr>
        <w:t>关于商业文书及诉讼、仲裁文书的</w:t>
      </w:r>
      <w:r>
        <w:rPr>
          <w:rFonts w:hint="eastAsia" w:eastAsia="仿宋_GB2312"/>
          <w:color w:val="000000"/>
          <w:kern w:val="0"/>
          <w:sz w:val="28"/>
          <w:szCs w:val="28"/>
          <w:lang w:eastAsia="zh-CN"/>
        </w:rPr>
        <w:t>通知与</w:t>
      </w:r>
      <w:r>
        <w:rPr>
          <w:rFonts w:hint="eastAsia" w:eastAsia="仿宋_GB2312"/>
          <w:color w:val="000000"/>
          <w:kern w:val="0"/>
          <w:sz w:val="28"/>
          <w:szCs w:val="28"/>
        </w:rPr>
        <w:t>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w:t>
      </w:r>
      <w:r>
        <w:rPr>
          <w:rFonts w:hint="eastAsia" w:eastAsia="仿宋_GB2312"/>
          <w:kern w:val="0"/>
          <w:sz w:val="28"/>
          <w:szCs w:val="28"/>
          <w:lang w:eastAsia="zh-CN"/>
        </w:rPr>
        <w:t>通知与</w:t>
      </w:r>
      <w:r>
        <w:rPr>
          <w:rFonts w:hint="eastAsia" w:eastAsia="仿宋_GB2312"/>
          <w:kern w:val="0"/>
          <w:sz w:val="28"/>
          <w:szCs w:val="28"/>
        </w:rPr>
        <w:t>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w:t>
      </w:r>
      <w:r>
        <w:rPr>
          <w:rFonts w:hint="eastAsia" w:eastAsia="仿宋_GB2312"/>
          <w:kern w:val="0"/>
          <w:sz w:val="28"/>
          <w:szCs w:val="28"/>
          <w:lang w:eastAsia="zh-CN"/>
        </w:rPr>
        <w:t>通知与</w:t>
      </w:r>
      <w:r>
        <w:rPr>
          <w:rFonts w:hint="eastAsia" w:eastAsia="仿宋_GB2312"/>
          <w:kern w:val="0"/>
          <w:sz w:val="28"/>
          <w:szCs w:val="28"/>
        </w:rPr>
        <w:t>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八、</w:t>
      </w:r>
      <w:r>
        <w:rPr>
          <w:rFonts w:hint="eastAsia" w:ascii="Times New Roman" w:hAnsi="Times New Roman" w:eastAsia="仿宋_GB2312" w:cs="Times New Roman"/>
          <w:color w:val="000000"/>
          <w:sz w:val="28"/>
          <w:szCs w:val="28"/>
        </w:rPr>
        <w:t>本协议一式</w:t>
      </w:r>
      <w:r>
        <w:rPr>
          <w:rFonts w:hint="eastAsia" w:ascii="Times New Roman" w:hAnsi="Times New Roman" w:eastAsia="仿宋_GB2312" w:cs="Times New Roman"/>
          <w:color w:val="000000"/>
          <w:sz w:val="28"/>
          <w:szCs w:val="28"/>
          <w:u w:val="single"/>
        </w:rPr>
        <w:t>六</w:t>
      </w:r>
      <w:r>
        <w:rPr>
          <w:rFonts w:hint="eastAsia" w:ascii="Times New Roman" w:hAnsi="Times New Roman" w:eastAsia="仿宋_GB2312" w:cs="Times New Roman"/>
          <w:color w:val="000000"/>
          <w:sz w:val="28"/>
          <w:szCs w:val="28"/>
        </w:rPr>
        <w:t>份，甲方</w:t>
      </w:r>
      <w:r>
        <w:rPr>
          <w:rFonts w:ascii="Times New Roman" w:hAnsi="Times New Roman" w:eastAsia="仿宋_GB2312" w:cs="Times New Roman"/>
          <w:color w:val="000000"/>
          <w:sz w:val="28"/>
          <w:szCs w:val="28"/>
        </w:rPr>
        <w:t>执</w:t>
      </w:r>
      <w:r>
        <w:rPr>
          <w:rFonts w:ascii="Times New Roman" w:hAnsi="Times New Roman" w:eastAsia="仿宋_GB2312" w:cs="Times New Roman"/>
          <w:color w:val="000000"/>
          <w:sz w:val="28"/>
          <w:szCs w:val="28"/>
          <w:u w:val="single"/>
        </w:rPr>
        <w:t>四</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乙方执</w:t>
      </w:r>
      <w:r>
        <w:rPr>
          <w:rFonts w:hint="eastAsia" w:ascii="Times New Roman" w:hAnsi="Times New Roman" w:eastAsia="仿宋_GB2312" w:cs="Times New Roman"/>
          <w:color w:val="000000"/>
          <w:sz w:val="28"/>
          <w:szCs w:val="28"/>
          <w:u w:val="single"/>
        </w:rPr>
        <w:t>两</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eastAsia="zh-CN"/>
        </w:rPr>
        <w:t>安全生产协议</w:t>
      </w:r>
      <w:r>
        <w:rPr>
          <w:rFonts w:hint="eastAsia" w:ascii="Times New Roman" w:hAnsi="Times New Roman" w:eastAsia="仿宋_GB2312" w:cs="Times New Roman"/>
          <w:color w:val="000000"/>
          <w:sz w:val="28"/>
          <w:szCs w:val="28"/>
        </w:rPr>
        <w:t>附件：1、重庆对外建设（集团）有限公司安全处罚实施细则</w:t>
      </w:r>
    </w:p>
    <w:p>
      <w:pPr>
        <w:pStyle w:val="11"/>
        <w:spacing w:before="0" w:beforeAutospacing="0" w:after="0" w:afterAutospacing="0" w:line="440" w:lineRule="exact"/>
        <w:ind w:left="1208" w:leftChars="575" w:firstLine="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2、外建</w:t>
      </w:r>
      <w:r>
        <w:rPr>
          <w:rFonts w:hint="eastAsia" w:ascii="Times New Roman" w:hAnsi="Times New Roman" w:eastAsia="仿宋_GB2312" w:cs="Times New Roman"/>
          <w:color w:val="000000"/>
          <w:sz w:val="28"/>
          <w:szCs w:val="28"/>
          <w:u w:val="single"/>
        </w:rPr>
        <w:t>__XXXX__</w:t>
      </w:r>
      <w:r>
        <w:rPr>
          <w:rFonts w:hint="eastAsia" w:ascii="Times New Roman" w:hAnsi="Times New Roman" w:eastAsia="仿宋_GB2312" w:cs="Times New Roman"/>
          <w:color w:val="000000"/>
          <w:sz w:val="28"/>
          <w:szCs w:val="28"/>
          <w:lang w:eastAsia="zh-CN"/>
        </w:rPr>
        <w:t>分公司</w:t>
      </w:r>
      <w:r>
        <w:rPr>
          <w:rFonts w:hint="eastAsia" w:ascii="Times New Roman" w:hAnsi="Times New Roman" w:eastAsia="仿宋_GB2312" w:cs="Times New Roman"/>
          <w:color w:val="000000"/>
          <w:sz w:val="28"/>
          <w:szCs w:val="28"/>
        </w:rPr>
        <w:t xml:space="preserve"> 安全处罚条款</w:t>
      </w:r>
      <w:r>
        <w:rPr>
          <w:rFonts w:hint="eastAsia" w:ascii="Times New Roman" w:hAnsi="Times New Roman" w:eastAsia="方正楷体_GBK" w:cs="Times New Roman"/>
          <w:iCs/>
          <w:color w:val="C00000"/>
          <w:sz w:val="28"/>
          <w:szCs w:val="28"/>
          <w:u w:val="single"/>
        </w:rPr>
        <w:t>｛注意填写：</w:t>
      </w:r>
      <w:r>
        <w:rPr>
          <w:rFonts w:hint="eastAsia" w:ascii="Times New Roman" w:hAnsi="Times New Roman" w:eastAsia="方正楷体_GBK" w:cs="Times New Roman"/>
          <w:iCs/>
          <w:color w:val="C00000"/>
          <w:sz w:val="28"/>
          <w:szCs w:val="28"/>
          <w:u w:val="single"/>
          <w:lang w:eastAsia="zh-CN"/>
        </w:rPr>
        <w:t>分公司负责</w:t>
      </w:r>
      <w:r>
        <w:rPr>
          <w:rFonts w:hint="eastAsia" w:ascii="Times New Roman" w:hAnsi="Times New Roman" w:eastAsia="方正楷体_GBK" w:cs="Times New Roman"/>
          <w:iCs/>
          <w:color w:val="C00000"/>
          <w:sz w:val="28"/>
          <w:szCs w:val="28"/>
          <w:u w:val="single"/>
        </w:rPr>
        <w:t>将处罚条款附件附后。｝</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cols w:space="720" w:num="1"/>
          <w:docGrid w:type="lines" w:linePitch="317"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安全生产协议附件1.</w:t>
      </w:r>
    </w:p>
    <w:p>
      <w:pPr>
        <w:pStyle w:val="11"/>
        <w:spacing w:before="0" w:beforeAutospacing="0" w:after="0" w:afterAutospacing="0" w:line="560" w:lineRule="exact"/>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spacing w:before="0" w:beforeAutospacing="0" w:after="0" w:afterAutospacing="0" w:line="560" w:lineRule="exact"/>
        <w:rPr>
          <w:rFonts w:hint="eastAsia" w:ascii="方正小标宋_GBK" w:eastAsia="方正小标宋_GBK"/>
          <w:color w:val="000000"/>
          <w:sz w:val="44"/>
          <w:szCs w:val="44"/>
        </w:rPr>
      </w:pPr>
      <w:r>
        <w:rPr>
          <w:rFonts w:hint="eastAsia" w:ascii="方正小标宋_GBK" w:eastAsia="方正小标宋_GBK"/>
          <w:color w:val="000000"/>
          <w:sz w:val="44"/>
          <w:szCs w:val="44"/>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560" w:lineRule="exact"/>
        <w:rPr>
          <w:rFonts w:hint="eastAsia" w:ascii="方正小标宋_GBK" w:eastAsia="方正小标宋_GBK"/>
          <w:color w:val="000000"/>
          <w:sz w:val="44"/>
          <w:szCs w:val="44"/>
        </w:rPr>
      </w:pPr>
    </w:p>
    <w:p>
      <w:pPr>
        <w:pStyle w:val="11"/>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cols w:space="720" w:num="1"/>
          <w:docGrid w:type="lines" w:linePitch="324"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b/>
          <w:sz w:val="32"/>
          <w:szCs w:val="32"/>
        </w:rPr>
      </w:pPr>
      <w:r>
        <w:rPr>
          <w:rFonts w:hint="eastAsia"/>
          <w:b/>
          <w:sz w:val="32"/>
          <w:szCs w:val="32"/>
        </w:rPr>
        <w:t>外建</w:t>
      </w:r>
      <w:r>
        <w:rPr>
          <w:rFonts w:hint="eastAsia"/>
          <w:b/>
          <w:sz w:val="32"/>
          <w:szCs w:val="32"/>
          <w:u w:val="single"/>
        </w:rPr>
        <w:t>__XXXX__</w:t>
      </w:r>
      <w:r>
        <w:rPr>
          <w:rFonts w:hint="eastAsia"/>
          <w:b/>
          <w:sz w:val="32"/>
          <w:szCs w:val="32"/>
          <w:lang w:eastAsia="zh-CN"/>
        </w:rPr>
        <w:t>分公司</w:t>
      </w:r>
      <w:r>
        <w:rPr>
          <w:rFonts w:hint="eastAsia"/>
          <w:b/>
          <w:sz w:val="32"/>
          <w:szCs w:val="32"/>
        </w:rPr>
        <w:t xml:space="preserve"> 安全处罚条款</w:t>
      </w:r>
      <w:r>
        <w:rPr>
          <w:rFonts w:hint="eastAsia"/>
          <w:b/>
          <w:color w:val="C00000"/>
          <w:sz w:val="32"/>
          <w:szCs w:val="32"/>
          <w:u w:val="single"/>
        </w:rPr>
        <w:t>｛</w:t>
      </w:r>
      <w:r>
        <w:rPr>
          <w:rFonts w:hint="eastAsia"/>
          <w:b/>
          <w:color w:val="C00000"/>
          <w:sz w:val="32"/>
          <w:szCs w:val="32"/>
          <w:u w:val="single"/>
          <w:lang w:eastAsia="zh-CN"/>
        </w:rPr>
        <w:t>以下为</w:t>
      </w:r>
      <w:r>
        <w:rPr>
          <w:rFonts w:hint="eastAsia"/>
          <w:b/>
          <w:color w:val="C00000"/>
          <w:sz w:val="32"/>
          <w:szCs w:val="32"/>
          <w:u w:val="single"/>
        </w:rPr>
        <w:t>样例</w:t>
      </w:r>
      <w:r>
        <w:rPr>
          <w:rFonts w:hint="eastAsia"/>
          <w:b/>
          <w:color w:val="C00000"/>
          <w:sz w:val="32"/>
          <w:szCs w:val="32"/>
          <w:u w:val="single"/>
          <w:lang w:eastAsia="zh-CN"/>
        </w:rPr>
        <w:t>，分公司负责参照拟订</w:t>
      </w:r>
      <w:r>
        <w:rPr>
          <w:rFonts w:hint="eastAsia"/>
          <w:b/>
          <w:color w:val="C00000"/>
          <w:sz w:val="32"/>
          <w:szCs w:val="32"/>
          <w:u w:val="single"/>
        </w:rPr>
        <w:t>｝</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pStyle w:val="11"/>
        <w:spacing w:before="0" w:beforeAutospacing="0" w:after="0" w:afterAutospacing="0" w:line="360" w:lineRule="auto"/>
        <w:rPr>
          <w:rFonts w:hint="eastAsia" w:ascii="仿宋" w:hAnsi="仿宋" w:eastAsia="仿宋" w:cs="仿宋"/>
          <w:color w:val="000000"/>
          <w:sz w:val="28"/>
          <w:szCs w:val="28"/>
        </w:rPr>
      </w:pPr>
    </w:p>
    <w:p>
      <w:pPr>
        <w:snapToGrid w:val="0"/>
        <w:spacing w:line="500" w:lineRule="exact"/>
        <w:rPr>
          <w:sz w:val="24"/>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1260" w:firstLineChars="450"/>
      </w:pP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                     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w:t>
      </w:r>
    </w:p>
    <w:p>
      <w:pPr>
        <w:pStyle w:val="2"/>
        <w:keepNext/>
        <w:keepLines/>
        <w:widowControl w:val="0"/>
        <w:numPr>
          <w:ilvl w:val="0"/>
          <w:numId w:val="0"/>
        </w:numPr>
        <w:spacing w:line="413" w:lineRule="auto"/>
        <w:jc w:val="both"/>
        <w:outlineLvl w:val="1"/>
      </w:pPr>
    </w:p>
    <w:p/>
    <w:p>
      <w:pPr>
        <w:pStyle w:val="2"/>
      </w:pPr>
    </w:p>
    <w:p/>
    <w:p>
      <w:pPr>
        <w:pStyle w:val="2"/>
      </w:pPr>
    </w:p>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6" w:name="_Toc491658679"/>
      <w:bookmarkStart w:id="107" w:name="_Toc65998015"/>
      <w:bookmarkStart w:id="108" w:name="_Toc458262638"/>
      <w:bookmarkStart w:id="109" w:name="_Toc454701405"/>
      <w:bookmarkStart w:id="110" w:name="_Toc468157564"/>
      <w:bookmarkStart w:id="111" w:name="_Toc467236768"/>
      <w:bookmarkStart w:id="112" w:name="_Toc480010736"/>
      <w:bookmarkStart w:id="113" w:name="_Toc479991610"/>
      <w:bookmarkStart w:id="114" w:name="_Toc467987851"/>
      <w:bookmarkStart w:id="115" w:name="_Toc6397150"/>
      <w:bookmarkStart w:id="116" w:name="_Toc468606057"/>
      <w:bookmarkStart w:id="117" w:name="_Toc480020285"/>
      <w:bookmarkStart w:id="118" w:name="_Toc480021081"/>
      <w:bookmarkStart w:id="119" w:name="_Toc90779595"/>
      <w:bookmarkStart w:id="120" w:name="_Toc6727971"/>
      <w:bookmarkStart w:id="121" w:name="_Toc123786880"/>
      <w:bookmarkStart w:id="122" w:name="_Toc500861026"/>
      <w:r>
        <w:rPr>
          <w:rFonts w:hint="eastAsia" w:ascii="Calibri" w:hAnsi="Calibri" w:eastAsia="宋体" w:cs="宋体"/>
          <w:b/>
          <w:bCs/>
          <w:w w:val="90"/>
          <w:sz w:val="44"/>
          <w:szCs w:val="44"/>
          <w:highlight w:val="none"/>
          <w:lang w:eastAsia="zh-CN"/>
        </w:rPr>
        <w:t>项目名称：忠县至石宝沿江旅游公路一期工程（G348县城至牟家山段）爆破作业专业分包（第二次）</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招采编号：2021-01-1006</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rPr>
          <w:rFonts w:ascii="宋体" w:hAnsi="宋体" w:eastAsia="宋体" w:cs="宋体"/>
          <w:sz w:val="20"/>
          <w:szCs w:val="20"/>
          <w:highlight w:val="none"/>
        </w:rPr>
      </w:pPr>
      <w:bookmarkStart w:id="123" w:name="_Toc123786881"/>
      <w:bookmarkStart w:id="124" w:name="_Toc6727972"/>
      <w:bookmarkStart w:id="125" w:name="_Toc65998016"/>
      <w:bookmarkStart w:id="126" w:name="_Toc6397151"/>
      <w:bookmarkStart w:id="127" w:name="_Toc90779596"/>
      <w:bookmarkStart w:id="128" w:name="_Toc26066260"/>
      <w:bookmarkStart w:id="129" w:name="_Toc491658680"/>
      <w:bookmarkStart w:id="130" w:name="_Toc500861027"/>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lang w:eastAsia="zh-CN"/>
        </w:rPr>
        <w:t>项目名称：忠县至石宝沿江旅游公路一期工程（G348县城至牟家山段）爆破作业专业分包（第二次）</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3"/>
    <w:p>
      <w:pPr>
        <w:rPr>
          <w:rFonts w:ascii="宋体" w:hAnsi="宋体"/>
          <w:szCs w:val="21"/>
          <w:highlight w:val="none"/>
        </w:rPr>
      </w:pPr>
      <w:bookmarkStart w:id="131"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eastAsia="zh-CN"/>
        </w:rPr>
        <w:t>县至石宝沿江旅游公路一期工程（G348县城至牟家山段）爆破作业专业分包（第二次）</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2021-01-1006</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5080" b="1016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Rectangle 2"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2" w:name="_Toc123786882"/>
      <w:bookmarkStart w:id="133" w:name="_Toc123786884"/>
      <w:r>
        <w:rPr>
          <w:rFonts w:hint="eastAsia" w:ascii="宋体" w:hAnsi="宋体"/>
          <w:szCs w:val="21"/>
          <w:highlight w:val="none"/>
        </w:rPr>
        <w:t>附表三：法定代表人授权书</w:t>
      </w:r>
      <w:bookmarkEnd w:id="132"/>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s="宋体"/>
          <w:sz w:val="28"/>
          <w:szCs w:val="28"/>
          <w:highlight w:val="none"/>
          <w:u w:val="single"/>
          <w:lang w:eastAsia="zh-CN"/>
        </w:rPr>
        <w:t>县至石宝沿江旅游公路一期工程（G348县城至牟家山段）爆破作业专业分包（第二次）</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2021-01-1006</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5080" b="1016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11"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质</w:t>
      </w:r>
      <w:r>
        <w:rPr>
          <w:rFonts w:hint="eastAsia" w:ascii="宋体" w:hAnsi="宋体" w:eastAsia="宋体" w:cs="宋体"/>
          <w:color w:val="auto"/>
          <w:sz w:val="28"/>
          <w:szCs w:val="28"/>
          <w:highlight w:val="none"/>
          <w:lang w:eastAsia="zh-CN"/>
        </w:rPr>
        <w:t>量</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jc w:val="left"/>
        <w:rPr>
          <w:color w:val="auto"/>
        </w:rPr>
      </w:pPr>
      <w:r>
        <w:rPr>
          <w:rFonts w:hint="eastAsia" w:ascii="宋体" w:hAnsi="宋体" w:eastAsia="宋体" w:cs="宋体"/>
          <w:color w:val="auto"/>
          <w:sz w:val="28"/>
          <w:szCs w:val="28"/>
          <w:highlight w:val="none"/>
          <w:lang w:eastAsia="zh-CN"/>
        </w:rPr>
        <w:t>爆破保管</w:t>
      </w:r>
      <w:r>
        <w:rPr>
          <w:rFonts w:hint="eastAsia" w:ascii="宋体" w:hAnsi="宋体" w:eastAsia="宋体" w:cs="宋体"/>
          <w:color w:val="auto"/>
          <w:sz w:val="28"/>
          <w:szCs w:val="28"/>
          <w:highlight w:val="none"/>
        </w:rPr>
        <w:t>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爆破</w:t>
      </w:r>
      <w:r>
        <w:rPr>
          <w:rFonts w:hint="eastAsia" w:ascii="宋体" w:hAnsi="宋体" w:eastAsia="宋体" w:cs="宋体"/>
          <w:color w:val="auto"/>
          <w:sz w:val="28"/>
          <w:szCs w:val="28"/>
          <w:highlight w:val="none"/>
        </w:rPr>
        <w:t>安全员(附</w:t>
      </w:r>
      <w:r>
        <w:rPr>
          <w:rFonts w:hint="eastAsia" w:ascii="宋体" w:hAnsi="宋体" w:eastAsia="宋体" w:cs="宋体"/>
          <w:color w:val="auto"/>
          <w:sz w:val="28"/>
          <w:szCs w:val="28"/>
          <w:highlight w:val="none"/>
          <w:lang w:eastAsia="zh-CN"/>
        </w:rPr>
        <w:t>公安机关有关</w:t>
      </w:r>
      <w:r>
        <w:rPr>
          <w:rFonts w:hint="eastAsia" w:ascii="宋体" w:hAnsi="宋体" w:eastAsia="宋体" w:cs="宋体"/>
          <w:color w:val="auto"/>
          <w:sz w:val="28"/>
          <w:szCs w:val="28"/>
          <w:highlight w:val="none"/>
        </w:rPr>
        <w:t>部门颁发的有效的证书复印件并加盖公章）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3"/>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爆破专业分包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6" w:type="default"/>
          <w:footerReference r:id="rId7" w:type="default"/>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cs="宋体"/>
          <w:b/>
          <w:bCs/>
          <w:sz w:val="24"/>
          <w:highlight w:val="none"/>
        </w:rPr>
      </w:pPr>
      <w:r>
        <w:rPr>
          <w:rFonts w:hint="eastAsia" w:ascii="宋体" w:hAnsi="宋体" w:cs="宋体"/>
          <w:b/>
          <w:bCs/>
          <w:sz w:val="32"/>
          <w:szCs w:val="32"/>
          <w:highlight w:val="none"/>
          <w:u w:val="single"/>
          <w:lang w:eastAsia="zh-CN"/>
        </w:rPr>
        <w:t>项目名称：忠县至石宝沿江旅游公路一期工程（G348县城至牟家山段）爆破作业专业</w:t>
      </w:r>
      <w:r>
        <w:rPr>
          <w:rFonts w:hint="eastAsia" w:ascii="宋体" w:hAnsi="宋体" w:cs="宋体"/>
          <w:b/>
          <w:bCs/>
          <w:sz w:val="32"/>
          <w:szCs w:val="32"/>
          <w:highlight w:val="none"/>
          <w:u w:val="single"/>
        </w:rPr>
        <w:t>分包</w:t>
      </w:r>
      <w:r>
        <w:rPr>
          <w:rFonts w:hint="eastAsia" w:ascii="宋体" w:hAnsi="宋体" w:cs="宋体"/>
          <w:b/>
          <w:bCs/>
          <w:sz w:val="32"/>
          <w:szCs w:val="32"/>
          <w:highlight w:val="none"/>
          <w:u w:val="single"/>
          <w:lang w:eastAsia="zh-CN"/>
        </w:rPr>
        <w:t>（第二次）</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bookmarkEnd w:id="124"/>
    <w:bookmarkEnd w:id="125"/>
    <w:bookmarkEnd w:id="126"/>
    <w:bookmarkEnd w:id="127"/>
    <w:bookmarkEnd w:id="128"/>
    <w:bookmarkEnd w:id="129"/>
    <w:bookmarkEnd w:id="130"/>
    <w:bookmarkEnd w:id="131"/>
    <w:tbl>
      <w:tblPr>
        <w:tblStyle w:val="13"/>
        <w:tblpPr w:leftFromText="180" w:rightFromText="180" w:vertAnchor="text" w:horzAnchor="page" w:tblpX="689" w:tblpY="524"/>
        <w:tblOverlap w:val="never"/>
        <w:tblW w:w="1598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2535"/>
        <w:gridCol w:w="3036"/>
        <w:gridCol w:w="480"/>
        <w:gridCol w:w="849"/>
        <w:gridCol w:w="471"/>
        <w:gridCol w:w="855"/>
        <w:gridCol w:w="1380"/>
        <w:gridCol w:w="1350"/>
        <w:gridCol w:w="999"/>
        <w:gridCol w:w="1350"/>
        <w:gridCol w:w="1560"/>
        <w:gridCol w:w="6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61" w:type="dxa"/>
            <w:vMerge w:val="restart"/>
            <w:tcBorders>
              <w:tl2br w:val="nil"/>
              <w:tr2bl w:val="nil"/>
            </w:tcBorders>
            <w:shd w:val="clear" w:color="auto" w:fill="auto"/>
            <w:noWrap w:val="0"/>
            <w:vAlign w:val="center"/>
          </w:tcPr>
          <w:p>
            <w:pPr>
              <w:spacing w:line="120" w:lineRule="auto"/>
              <w:ind w:right="-25"/>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  序号</w:t>
            </w:r>
          </w:p>
        </w:tc>
        <w:tc>
          <w:tcPr>
            <w:tcW w:w="2535" w:type="dxa"/>
            <w:vMerge w:val="restart"/>
            <w:tcBorders>
              <w:tl2br w:val="nil"/>
              <w:tr2bl w:val="nil"/>
            </w:tcBorders>
            <w:shd w:val="clear" w:color="auto" w:fill="auto"/>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分部分项工程</w:t>
            </w:r>
            <w:r>
              <w:rPr>
                <w:rFonts w:hint="eastAsia" w:ascii="仿宋_GB2312" w:hAnsi="仿宋_GB2312" w:eastAsia="仿宋_GB2312" w:cs="仿宋_GB2312"/>
                <w:b/>
                <w:bCs/>
                <w:szCs w:val="21"/>
                <w:highlight w:val="none"/>
              </w:rPr>
              <w:t>名称</w:t>
            </w:r>
          </w:p>
        </w:tc>
        <w:tc>
          <w:tcPr>
            <w:tcW w:w="3036"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项目特征及主要工程内容</w:t>
            </w:r>
          </w:p>
        </w:tc>
        <w:tc>
          <w:tcPr>
            <w:tcW w:w="480"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计量单位</w:t>
            </w:r>
          </w:p>
        </w:tc>
        <w:tc>
          <w:tcPr>
            <w:tcW w:w="849"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暂定工程量</w:t>
            </w:r>
          </w:p>
        </w:tc>
        <w:tc>
          <w:tcPr>
            <w:tcW w:w="471" w:type="dxa"/>
            <w:vMerge w:val="restart"/>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税率</w:t>
            </w:r>
          </w:p>
        </w:tc>
        <w:tc>
          <w:tcPr>
            <w:tcW w:w="3585" w:type="dxa"/>
            <w:gridSpan w:val="3"/>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限价（元）</w:t>
            </w:r>
          </w:p>
        </w:tc>
        <w:tc>
          <w:tcPr>
            <w:tcW w:w="3909" w:type="dxa"/>
            <w:gridSpan w:val="3"/>
            <w:tcBorders>
              <w:bottom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报价（元）</w:t>
            </w:r>
          </w:p>
        </w:tc>
        <w:tc>
          <w:tcPr>
            <w:tcW w:w="657" w:type="dxa"/>
            <w:vMerge w:val="restart"/>
            <w:tcBorders>
              <w:tl2br w:val="nil"/>
              <w:tr2bl w:val="nil"/>
            </w:tcBorders>
            <w:shd w:val="clear" w:color="auto" w:fill="FFFFFF"/>
            <w:noWrap w:val="0"/>
            <w:vAlign w:val="center"/>
          </w:tcPr>
          <w:p>
            <w:pPr>
              <w:spacing w:line="120" w:lineRule="auto"/>
              <w:ind w:right="399" w:rightChars="0"/>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461" w:type="dxa"/>
            <w:vMerge w:val="continue"/>
            <w:tcBorders>
              <w:tl2br w:val="nil"/>
              <w:tr2bl w:val="nil"/>
            </w:tcBorders>
            <w:shd w:val="clear" w:color="auto" w:fill="auto"/>
            <w:noWrap w:val="0"/>
            <w:vAlign w:val="center"/>
          </w:tcPr>
          <w:p>
            <w:pPr>
              <w:spacing w:line="120" w:lineRule="auto"/>
              <w:ind w:right="-25"/>
              <w:rPr>
                <w:rFonts w:hint="eastAsia" w:ascii="仿宋_GB2312" w:hAnsi="仿宋_GB2312" w:eastAsia="仿宋_GB2312" w:cs="仿宋_GB2312"/>
                <w:b/>
                <w:bCs/>
                <w:szCs w:val="21"/>
                <w:highlight w:val="none"/>
              </w:rPr>
            </w:pPr>
          </w:p>
        </w:tc>
        <w:tc>
          <w:tcPr>
            <w:tcW w:w="2535" w:type="dxa"/>
            <w:vMerge w:val="continue"/>
            <w:tcBorders>
              <w:tl2br w:val="nil"/>
              <w:tr2bl w:val="nil"/>
            </w:tcBorders>
            <w:shd w:val="clear" w:color="auto" w:fill="auto"/>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3036"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80"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849"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71"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p>
        </w:tc>
        <w:tc>
          <w:tcPr>
            <w:tcW w:w="855" w:type="dxa"/>
            <w:tcBorders>
              <w:top w:val="single" w:color="auto" w:sz="4" w:space="0"/>
              <w:righ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税前单价</w:t>
            </w:r>
          </w:p>
        </w:tc>
        <w:tc>
          <w:tcPr>
            <w:tcW w:w="1380" w:type="dxa"/>
            <w:tcBorders>
              <w:top w:val="single" w:color="auto" w:sz="4" w:space="0"/>
              <w:lef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税前总价</w:t>
            </w:r>
          </w:p>
        </w:tc>
        <w:tc>
          <w:tcPr>
            <w:tcW w:w="1350"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税后总价</w:t>
            </w:r>
          </w:p>
        </w:tc>
        <w:tc>
          <w:tcPr>
            <w:tcW w:w="999"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税前单价</w:t>
            </w:r>
          </w:p>
        </w:tc>
        <w:tc>
          <w:tcPr>
            <w:tcW w:w="1350"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税前总价</w:t>
            </w:r>
          </w:p>
        </w:tc>
        <w:tc>
          <w:tcPr>
            <w:tcW w:w="1560" w:type="dxa"/>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税后总价</w:t>
            </w:r>
          </w:p>
        </w:tc>
        <w:tc>
          <w:tcPr>
            <w:tcW w:w="657" w:type="dxa"/>
            <w:vMerge w:val="continue"/>
            <w:tcBorders>
              <w:tl2br w:val="nil"/>
              <w:tr2bl w:val="nil"/>
            </w:tcBorders>
            <w:shd w:val="clear" w:color="auto" w:fill="FFFFFF"/>
            <w:noWrap w:val="0"/>
            <w:vAlign w:val="center"/>
          </w:tcPr>
          <w:p>
            <w:pPr>
              <w:spacing w:line="120" w:lineRule="auto"/>
              <w:ind w:right="-25"/>
              <w:rPr>
                <w:rFonts w:hint="eastAsia" w:ascii="仿宋_GB2312" w:hAnsi="仿宋_GB2312" w:eastAsia="仿宋_GB2312" w:cs="仿宋_GB2312"/>
                <w:b/>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35" w:hRule="atLeast"/>
        </w:trPr>
        <w:tc>
          <w:tcPr>
            <w:tcW w:w="461" w:type="dxa"/>
            <w:tcBorders>
              <w:tl2br w:val="nil"/>
              <w:tr2bl w:val="nil"/>
            </w:tcBorders>
            <w:shd w:val="clear" w:color="auto" w:fill="auto"/>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6"/>
                <w:szCs w:val="16"/>
                <w:u w:val="none"/>
                <w:lang w:val="en-US" w:eastAsia="zh-CN" w:bidi="ar"/>
              </w:rPr>
              <w:t>1</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隧道土石方爆破</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1、布孔、打眼、封堵孔口； 爆破材料检查领运及余料退库、安接爆破路线；炮孔检 查清理、装药、堵塞、 警戒及放炮、处理瞎炮、危石；改炮；修理等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2.其它:满足设计、规范、招标文件、现场条件要求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m3</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87672</w:t>
            </w:r>
          </w:p>
        </w:tc>
        <w:tc>
          <w:tcPr>
            <w:tcW w:w="471" w:type="dxa"/>
            <w:tcBorders>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55" w:type="dxa"/>
            <w:tcBorders>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39.12 </w:t>
            </w:r>
          </w:p>
        </w:tc>
        <w:tc>
          <w:tcPr>
            <w:tcW w:w="1380" w:type="dxa"/>
            <w:tcBorders>
              <w:lef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3429728.64</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3944187.94 </w:t>
            </w:r>
          </w:p>
        </w:tc>
        <w:tc>
          <w:tcPr>
            <w:tcW w:w="999"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350"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94" w:hRule="atLeast"/>
        </w:trPr>
        <w:tc>
          <w:tcPr>
            <w:tcW w:w="461" w:type="dxa"/>
            <w:tcBorders>
              <w:tl2br w:val="nil"/>
              <w:tr2bl w:val="nil"/>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535"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路基石方爆破</w:t>
            </w:r>
          </w:p>
        </w:tc>
        <w:tc>
          <w:tcPr>
            <w:tcW w:w="3036" w:type="dxa"/>
            <w:tcBorders>
              <w:tl2br w:val="nil"/>
              <w:tr2bl w:val="nil"/>
            </w:tcBorders>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1、布孔、打眼、封堵孔口； 爆破材料检查领运及余料退库、安接爆破路线；炮孔检 查清理、装药、堵塞、 警戒及放炮、处理瞎炮、危石；改炮；修理等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2.其它:满足设计、规范、招标文件、现场条件要求</w:t>
            </w:r>
          </w:p>
        </w:tc>
        <w:tc>
          <w:tcPr>
            <w:tcW w:w="480"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m2</w:t>
            </w:r>
          </w:p>
        </w:tc>
        <w:tc>
          <w:tcPr>
            <w:tcW w:w="849" w:type="dxa"/>
            <w:tcBorders>
              <w:tl2br w:val="nil"/>
              <w:tr2bl w:val="nil"/>
            </w:tcBorders>
            <w:shd w:val="clear" w:color="FFFFFF" w:fill="FFFFFF"/>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20"/>
                <w:szCs w:val="20"/>
                <w:u w:val="none"/>
                <w:lang w:val="en-US" w:eastAsia="zh-CN" w:bidi="ar"/>
              </w:rPr>
              <w:t>215011</w:t>
            </w:r>
          </w:p>
        </w:tc>
        <w:tc>
          <w:tcPr>
            <w:tcW w:w="471"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85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5.22 </w:t>
            </w:r>
          </w:p>
        </w:tc>
        <w:tc>
          <w:tcPr>
            <w:tcW w:w="138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1122357.42 </w:t>
            </w:r>
          </w:p>
        </w:tc>
        <w:tc>
          <w:tcPr>
            <w:tcW w:w="13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1290711.03 </w:t>
            </w:r>
          </w:p>
        </w:tc>
        <w:tc>
          <w:tcPr>
            <w:tcW w:w="99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c>
          <w:tcPr>
            <w:tcW w:w="1350"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c>
          <w:tcPr>
            <w:tcW w:w="156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57"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r>
              <w:rPr>
                <w:rFonts w:hint="eastAsia" w:ascii="宋体" w:hAnsi="宋体" w:eastAsia="宋体" w:cs="宋体"/>
                <w:i w:val="0"/>
                <w:color w:val="000000"/>
                <w:kern w:val="0"/>
                <w:sz w:val="18"/>
                <w:szCs w:val="18"/>
                <w:u w:val="none"/>
                <w:lang w:val="en-US" w:eastAsia="zh-CN" w:bidi="ar"/>
              </w:rPr>
              <w:t>以实际收方量为准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7832" w:type="dxa"/>
            <w:gridSpan w:val="6"/>
            <w:tcBorders>
              <w:right w:val="single" w:color="auto" w:sz="4" w:space="0"/>
              <w:tl2br w:val="nil"/>
              <w:tr2bl w:val="nil"/>
            </w:tcBorders>
            <w:noWrap w:val="0"/>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 xml:space="preserve">    合计（元）</w:t>
            </w:r>
          </w:p>
        </w:tc>
        <w:tc>
          <w:tcPr>
            <w:tcW w:w="855"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p>
        </w:tc>
        <w:tc>
          <w:tcPr>
            <w:tcW w:w="1380"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4552086.06</w:t>
            </w:r>
          </w:p>
        </w:tc>
        <w:tc>
          <w:tcPr>
            <w:tcW w:w="1350" w:type="dxa"/>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5234898.97</w:t>
            </w:r>
          </w:p>
        </w:tc>
        <w:tc>
          <w:tcPr>
            <w:tcW w:w="2349" w:type="dxa"/>
            <w:gridSpan w:val="2"/>
            <w:tcBorders>
              <w:left w:val="single" w:color="auto" w:sz="4" w:space="0"/>
              <w:tl2br w:val="nil"/>
              <w:tr2bl w:val="nil"/>
            </w:tcBorders>
            <w:noWrap w:val="0"/>
            <w:vAlign w:val="top"/>
          </w:tcPr>
          <w:p>
            <w:pPr>
              <w:jc w:val="center"/>
              <w:rPr>
                <w:rFonts w:ascii="仿宋_GB2312" w:hAnsi="仿宋_GB2312" w:eastAsia="仿宋_GB2312" w:cs="仿宋_GB2312"/>
                <w:b/>
                <w:bCs/>
                <w:szCs w:val="21"/>
                <w:highlight w:val="none"/>
              </w:rPr>
            </w:pPr>
          </w:p>
        </w:tc>
        <w:tc>
          <w:tcPr>
            <w:tcW w:w="1560" w:type="dxa"/>
            <w:tcBorders>
              <w:left w:val="single" w:color="auto" w:sz="4" w:space="0"/>
              <w:tl2br w:val="nil"/>
              <w:tr2bl w:val="nil"/>
            </w:tcBorders>
            <w:noWrap w:val="0"/>
            <w:vAlign w:val="top"/>
          </w:tcPr>
          <w:p>
            <w:pPr>
              <w:jc w:val="center"/>
              <w:rPr>
                <w:rFonts w:ascii="仿宋_GB2312" w:hAnsi="仿宋_GB2312" w:eastAsia="仿宋_GB2312" w:cs="仿宋_GB2312"/>
                <w:b/>
                <w:bCs/>
                <w:szCs w:val="21"/>
                <w:highlight w:val="none"/>
              </w:rPr>
            </w:pPr>
          </w:p>
        </w:tc>
        <w:tc>
          <w:tcPr>
            <w:tcW w:w="657" w:type="dxa"/>
            <w:tcBorders>
              <w:tl2br w:val="nil"/>
              <w:tr2bl w:val="nil"/>
            </w:tcBorders>
            <w:noWrap w:val="0"/>
            <w:vAlign w:val="top"/>
          </w:tcPr>
          <w:p>
            <w:pPr>
              <w:jc w:val="center"/>
              <w:rPr>
                <w:rFonts w:ascii="仿宋_GB2312" w:hAnsi="仿宋_GB2312" w:eastAsia="仿宋_GB2312" w:cs="仿宋_GB2312"/>
                <w:b/>
                <w:bCs/>
                <w:szCs w:val="21"/>
                <w:highlight w:val="none"/>
              </w:rPr>
            </w:pPr>
          </w:p>
        </w:tc>
      </w:tr>
    </w:tbl>
    <w:p>
      <w:pPr>
        <w:jc w:val="left"/>
        <w:rPr>
          <w:rFonts w:hint="eastAsia" w:ascii="宋体" w:hAnsi="宋体"/>
          <w:sz w:val="28"/>
          <w:szCs w:val="28"/>
          <w:highlight w:val="none"/>
        </w:rPr>
      </w:pPr>
      <w:r>
        <w:rPr>
          <w:rFonts w:hint="eastAsia" w:ascii="宋体" w:hAnsi="宋体"/>
          <w:sz w:val="28"/>
          <w:szCs w:val="28"/>
          <w:highlight w:val="none"/>
        </w:rPr>
        <w:t>说明：以上</w:t>
      </w:r>
      <w:r>
        <w:rPr>
          <w:rFonts w:hint="eastAsia" w:ascii="宋体" w:hAnsi="宋体"/>
          <w:sz w:val="28"/>
          <w:szCs w:val="28"/>
          <w:highlight w:val="none"/>
          <w:lang w:eastAsia="zh-CN"/>
        </w:rPr>
        <w:t>含税报</w:t>
      </w:r>
      <w:r>
        <w:rPr>
          <w:rFonts w:hint="eastAsia" w:ascii="宋体" w:hAnsi="宋体"/>
          <w:sz w:val="28"/>
          <w:szCs w:val="28"/>
          <w:highlight w:val="none"/>
        </w:rPr>
        <w:t>价均为包干价，其价格含人工费、管理费和利润、税金(</w:t>
      </w:r>
      <w:r>
        <w:rPr>
          <w:rFonts w:hint="eastAsia" w:ascii="宋体" w:hAnsi="宋体"/>
          <w:sz w:val="28"/>
          <w:szCs w:val="28"/>
          <w:highlight w:val="none"/>
          <w:lang w:val="en-US" w:eastAsia="zh-CN"/>
        </w:rPr>
        <w:t>15</w:t>
      </w:r>
      <w:r>
        <w:rPr>
          <w:rFonts w:hint="eastAsia" w:ascii="宋体" w:hAnsi="宋体"/>
          <w:sz w:val="28"/>
          <w:szCs w:val="28"/>
          <w:highlight w:val="none"/>
        </w:rPr>
        <w:t>%)等全部费用。</w:t>
      </w:r>
    </w:p>
    <w:p>
      <w:pPr>
        <w:ind w:firstLine="3640" w:firstLineChars="1300"/>
        <w:rPr>
          <w:rFonts w:hint="eastAsia" w:ascii="宋体" w:hAnsi="宋体"/>
          <w:sz w:val="28"/>
          <w:szCs w:val="28"/>
          <w:highlight w:val="none"/>
        </w:rPr>
      </w:pPr>
    </w:p>
    <w:p>
      <w:pPr>
        <w:ind w:firstLine="3640" w:firstLineChars="1300"/>
        <w:rPr>
          <w:rFonts w:hint="eastAsia" w:ascii="宋体" w:hAnsi="宋体"/>
          <w:sz w:val="28"/>
          <w:szCs w:val="28"/>
          <w:highlight w:val="none"/>
        </w:rPr>
      </w:pPr>
    </w:p>
    <w:p>
      <w:pPr>
        <w:ind w:left="0" w:leftChars="0" w:firstLine="7918" w:firstLineChars="2828"/>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left="0" w:leftChars="0" w:firstLine="7918" w:firstLineChars="2828"/>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left="0" w:leftChars="0" w:firstLine="7918" w:firstLineChars="2828"/>
        <w:jc w:val="both"/>
        <w:rPr>
          <w:rFonts w:ascii="宋体" w:hAnsi="宋体" w:eastAsia="宋体" w:cs="Times New Roman"/>
          <w:szCs w:val="21"/>
          <w:highlight w:val="none"/>
        </w:rPr>
        <w:sectPr>
          <w:pgSz w:w="16838" w:h="11906"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eastAsia="zh-CN"/>
        </w:rPr>
        <w:t>忠县至石宝沿江旅游公路一期工程（G348县城至牟家山段）爆破作业专业分包单位招采（第二次</w:t>
      </w:r>
      <w:bookmarkStart w:id="134" w:name="_GoBack"/>
      <w:bookmarkEnd w:id="134"/>
      <w:r>
        <w:rPr>
          <w:rFonts w:hint="eastAsia" w:ascii="Calibri" w:hAnsi="Calibri" w:eastAsia="宋体" w:cs="宋体"/>
          <w:b/>
          <w:bCs/>
          <w:w w:val="90"/>
          <w:sz w:val="44"/>
          <w:szCs w:val="44"/>
          <w:highlight w:val="none"/>
          <w:lang w:eastAsia="zh-CN"/>
        </w:rPr>
        <w:t>）</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2021-01-1006</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5"/>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Style w:val="15"/>
        <w:rFonts w:hint="eastAsia"/>
      </w:rPr>
      <w:t>专业分包 合同范本</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wkkTm5gEA&#10;AMgDAAAOAAAAAAAAAAEAIAAAACIBAABkcnMvZTJvRG9jLnhtbFBLBQYAAAAABgAGAFkBAAB6BQAA&#10;AAA=&#10;">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LQTDn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EtBMO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BCAE6"/>
    <w:multiLevelType w:val="singleLevel"/>
    <w:tmpl w:val="208BCAE6"/>
    <w:lvl w:ilvl="0" w:tentative="0">
      <w:start w:val="1"/>
      <w:numFmt w:val="decimal"/>
      <w:lvlText w:val="%1."/>
      <w:lvlJc w:val="left"/>
      <w:pPr>
        <w:tabs>
          <w:tab w:val="left" w:pos="312"/>
        </w:tabs>
      </w:pPr>
    </w:lvl>
  </w:abstractNum>
  <w:abstractNum w:abstractNumId="1">
    <w:nsid w:val="2A30C0F0"/>
    <w:multiLevelType w:val="singleLevel"/>
    <w:tmpl w:val="2A30C0F0"/>
    <w:lvl w:ilvl="0" w:tentative="0">
      <w:start w:val="5"/>
      <w:numFmt w:val="chineseCounting"/>
      <w:suff w:val="space"/>
      <w:lvlText w:val="第%1部分"/>
      <w:lvlJc w:val="left"/>
      <w:rPr>
        <w:rFonts w:hint="eastAsia"/>
      </w:rPr>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7D0BA0"/>
    <w:rsid w:val="0EEE1C77"/>
    <w:rsid w:val="0F883FCB"/>
    <w:rsid w:val="0F897A30"/>
    <w:rsid w:val="0F8C5DFC"/>
    <w:rsid w:val="119C0C20"/>
    <w:rsid w:val="119C329D"/>
    <w:rsid w:val="123F3062"/>
    <w:rsid w:val="12930DAE"/>
    <w:rsid w:val="12C216A0"/>
    <w:rsid w:val="13135F99"/>
    <w:rsid w:val="13C958EC"/>
    <w:rsid w:val="15905B94"/>
    <w:rsid w:val="15977186"/>
    <w:rsid w:val="159E581C"/>
    <w:rsid w:val="15E36240"/>
    <w:rsid w:val="16411650"/>
    <w:rsid w:val="179F23F1"/>
    <w:rsid w:val="18B1176E"/>
    <w:rsid w:val="18E810AC"/>
    <w:rsid w:val="1B993684"/>
    <w:rsid w:val="1BCD74AD"/>
    <w:rsid w:val="1C7A6A7B"/>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7AD2F6E"/>
    <w:rsid w:val="27E93EC6"/>
    <w:rsid w:val="2938393D"/>
    <w:rsid w:val="29533DC6"/>
    <w:rsid w:val="295A7629"/>
    <w:rsid w:val="29E32F40"/>
    <w:rsid w:val="2B10056B"/>
    <w:rsid w:val="2D517F39"/>
    <w:rsid w:val="2D924373"/>
    <w:rsid w:val="31F177B0"/>
    <w:rsid w:val="31F82477"/>
    <w:rsid w:val="33FD1BE6"/>
    <w:rsid w:val="35BD194F"/>
    <w:rsid w:val="36C764F5"/>
    <w:rsid w:val="3A1E0E6E"/>
    <w:rsid w:val="3A367996"/>
    <w:rsid w:val="3A510B03"/>
    <w:rsid w:val="3A8C5BF7"/>
    <w:rsid w:val="3A944FC6"/>
    <w:rsid w:val="3AFC5472"/>
    <w:rsid w:val="3B4417D1"/>
    <w:rsid w:val="3D6F1491"/>
    <w:rsid w:val="3D9A74CB"/>
    <w:rsid w:val="41186530"/>
    <w:rsid w:val="41DF3752"/>
    <w:rsid w:val="42B3753D"/>
    <w:rsid w:val="445653C0"/>
    <w:rsid w:val="44DF244D"/>
    <w:rsid w:val="45375669"/>
    <w:rsid w:val="46977388"/>
    <w:rsid w:val="46B95D4A"/>
    <w:rsid w:val="46CD2D9F"/>
    <w:rsid w:val="470E1013"/>
    <w:rsid w:val="48F812ED"/>
    <w:rsid w:val="4A026112"/>
    <w:rsid w:val="4A3C454D"/>
    <w:rsid w:val="4B0A0336"/>
    <w:rsid w:val="4B271FF1"/>
    <w:rsid w:val="4BA542DC"/>
    <w:rsid w:val="4C865E9F"/>
    <w:rsid w:val="4D052A34"/>
    <w:rsid w:val="4D6233F6"/>
    <w:rsid w:val="4DF76D7D"/>
    <w:rsid w:val="4E785092"/>
    <w:rsid w:val="4FE311F5"/>
    <w:rsid w:val="502531D8"/>
    <w:rsid w:val="50DA10C1"/>
    <w:rsid w:val="518A79A8"/>
    <w:rsid w:val="5298273F"/>
    <w:rsid w:val="52CD2E30"/>
    <w:rsid w:val="52FA3AB2"/>
    <w:rsid w:val="54782876"/>
    <w:rsid w:val="549B6D51"/>
    <w:rsid w:val="54E61BCB"/>
    <w:rsid w:val="54EE18E4"/>
    <w:rsid w:val="56E10AB2"/>
    <w:rsid w:val="56F90CAF"/>
    <w:rsid w:val="58175555"/>
    <w:rsid w:val="589D41C1"/>
    <w:rsid w:val="58C67C45"/>
    <w:rsid w:val="58CA093F"/>
    <w:rsid w:val="59873A35"/>
    <w:rsid w:val="5B184D0A"/>
    <w:rsid w:val="5B3257BD"/>
    <w:rsid w:val="5B961925"/>
    <w:rsid w:val="5CF6578A"/>
    <w:rsid w:val="5D0122EF"/>
    <w:rsid w:val="5D285253"/>
    <w:rsid w:val="5D8A753D"/>
    <w:rsid w:val="5EA246CE"/>
    <w:rsid w:val="5EF74518"/>
    <w:rsid w:val="5F074054"/>
    <w:rsid w:val="5F2530AA"/>
    <w:rsid w:val="61155C32"/>
    <w:rsid w:val="622207D5"/>
    <w:rsid w:val="627915C9"/>
    <w:rsid w:val="628C29E1"/>
    <w:rsid w:val="63993EAB"/>
    <w:rsid w:val="65A255AA"/>
    <w:rsid w:val="66F933D6"/>
    <w:rsid w:val="671557AD"/>
    <w:rsid w:val="687065EF"/>
    <w:rsid w:val="69286453"/>
    <w:rsid w:val="69553127"/>
    <w:rsid w:val="69D6092A"/>
    <w:rsid w:val="6A351234"/>
    <w:rsid w:val="6AD34B19"/>
    <w:rsid w:val="6B0A51FC"/>
    <w:rsid w:val="6BF32F56"/>
    <w:rsid w:val="6C125B69"/>
    <w:rsid w:val="6D3A541B"/>
    <w:rsid w:val="6EC66E88"/>
    <w:rsid w:val="70F9192E"/>
    <w:rsid w:val="714C2F47"/>
    <w:rsid w:val="715F2D1C"/>
    <w:rsid w:val="71962C37"/>
    <w:rsid w:val="71E107CB"/>
    <w:rsid w:val="72D91A28"/>
    <w:rsid w:val="730C297D"/>
    <w:rsid w:val="73D05BB5"/>
    <w:rsid w:val="740059EF"/>
    <w:rsid w:val="741A23B4"/>
    <w:rsid w:val="74685BF6"/>
    <w:rsid w:val="74D5303C"/>
    <w:rsid w:val="76781C65"/>
    <w:rsid w:val="76FB7F97"/>
    <w:rsid w:val="773918AE"/>
    <w:rsid w:val="77FA1E4B"/>
    <w:rsid w:val="7802441D"/>
    <w:rsid w:val="78C45E3E"/>
    <w:rsid w:val="78CC1BA3"/>
    <w:rsid w:val="795B5BD3"/>
    <w:rsid w:val="79635CCA"/>
    <w:rsid w:val="7A323300"/>
    <w:rsid w:val="7A7E543C"/>
    <w:rsid w:val="7AB55436"/>
    <w:rsid w:val="7ACE5A4A"/>
    <w:rsid w:val="7AF958CA"/>
    <w:rsid w:val="7B5613CF"/>
    <w:rsid w:val="7B65151E"/>
    <w:rsid w:val="7BE85025"/>
    <w:rsid w:val="7C1709B7"/>
    <w:rsid w:val="7C1D647C"/>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75</TotalTime>
  <ScaleCrop>false</ScaleCrop>
  <LinksUpToDate>false</LinksUpToDate>
  <CharactersWithSpaces>14081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2021-03-22T01:51:00Z</cp:lastPrinted>
  <dcterms:modified xsi:type="dcterms:W3CDTF">2021-04-07T01:50:37Z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13389AB5AE7A4E65BDEFD074D9A81BE5</vt:lpwstr>
  </property>
</Properties>
</file>