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数字创意产业园配套工程EPC项目（二期）家具采购（第二次）</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lang w:eastAsia="zh-CN"/>
        </w:rPr>
        <w:t>招采文件编号：</w:t>
      </w:r>
      <w:r>
        <w:rPr>
          <w:rFonts w:hint="eastAsia" w:ascii="宋体" w:hAnsi="宋体" w:cs="宋体"/>
          <w:sz w:val="28"/>
          <w:highlight w:val="none"/>
          <w:lang w:val="en-US" w:eastAsia="zh-CN"/>
        </w:rPr>
        <w:t>2021-03-003</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14</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数字创意产业园配套工程EPC项目（二期）</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eastAsia="zh-CN"/>
          <w14:textFill>
            <w14:solidFill>
              <w14:schemeClr w14:val="tx1"/>
            </w14:solidFill>
          </w14:textFill>
        </w:rPr>
        <w:t>综合型号家具</w:t>
      </w:r>
      <w:r>
        <w:rPr>
          <w:rFonts w:hint="eastAsia" w:ascii="宋体" w:hAnsi="宋体" w:cs="宋体"/>
          <w:bCs/>
          <w:color w:val="000000" w:themeColor="text1"/>
          <w:sz w:val="28"/>
          <w:highlight w:val="none"/>
          <w:lang w:val="en-US" w:eastAsia="zh-CN"/>
          <w14:textFill>
            <w14:solidFill>
              <w14:schemeClr w14:val="tx1"/>
            </w14:solidFill>
          </w14:textFill>
        </w:rPr>
        <w:t>6284件（技术参数、产品图片详见家具材料清单）</w:t>
      </w:r>
      <w:r>
        <w:rPr>
          <w:rFonts w:hint="eastAsia" w:ascii="宋体" w:hAnsi="宋体" w:cs="宋体"/>
          <w:bCs/>
          <w:color w:val="000000" w:themeColor="text1"/>
          <w:sz w:val="28"/>
          <w:highlight w:val="none"/>
          <w:lang w:eastAsia="zh-CN"/>
          <w14:textFill>
            <w14:solidFill>
              <w14:schemeClr w14:val="tx1"/>
            </w14:solidFill>
          </w14:textFill>
        </w:rPr>
        <w:t>。</w:t>
      </w:r>
    </w:p>
    <w:p>
      <w:p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p>
    <w:p>
      <w:pPr>
        <w:snapToGrid w:val="0"/>
        <w:ind w:firstLine="560" w:firstLineChars="200"/>
        <w:jc w:val="left"/>
        <w:rPr>
          <w:rFonts w:ascii="宋体" w:hAnsi="宋体" w:cs="宋体"/>
          <w:bCs/>
          <w:color w:val="auto"/>
          <w:sz w:val="28"/>
          <w:highlight w:val="none"/>
        </w:rPr>
      </w:pPr>
      <w:r>
        <w:rPr>
          <w:rFonts w:hint="eastAsia" w:ascii="宋体" w:hAnsi="宋体" w:cs="宋体"/>
          <w:bCs/>
          <w:color w:val="000000" w:themeColor="text1"/>
          <w:sz w:val="28"/>
          <w:highlight w:val="none"/>
          <w14:textFill>
            <w14:solidFill>
              <w14:schemeClr w14:val="tx1"/>
            </w14:solidFill>
          </w14:textFill>
        </w:rPr>
        <w:t>3、供货周期：按进度分批次供货</w:t>
      </w:r>
      <w:r>
        <w:rPr>
          <w:rFonts w:hint="eastAsia" w:ascii="宋体" w:hAnsi="宋体" w:cs="宋体"/>
          <w:bCs/>
          <w:color w:val="auto"/>
          <w:sz w:val="28"/>
          <w:highlight w:val="none"/>
        </w:rPr>
        <w:t>。</w:t>
      </w:r>
    </w:p>
    <w:p>
      <w:pPr>
        <w:snapToGrid w:val="0"/>
        <w:ind w:firstLine="560" w:firstLineChars="200"/>
        <w:jc w:val="left"/>
        <w:rPr>
          <w:rFonts w:ascii="宋体" w:hAnsi="宋体" w:cs="宋体"/>
          <w:bCs/>
          <w:color w:val="auto"/>
          <w:sz w:val="28"/>
          <w:highlight w:val="none"/>
        </w:rPr>
      </w:pPr>
    </w:p>
    <w:p>
      <w:pPr>
        <w:numPr>
          <w:ilvl w:val="0"/>
          <w:numId w:val="1"/>
        </w:num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数字创意产业园配套工程EPC项目（二期）。</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2021年4月15日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val="en-US" w:eastAsia="zh-CN"/>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15</w:t>
      </w:r>
      <w:r>
        <w:rPr>
          <w:rFonts w:hint="eastAsia" w:ascii="宋体" w:hAnsi="宋体" w:eastAsia="宋体" w:cs="宋体"/>
          <w:color w:val="auto"/>
          <w:sz w:val="28"/>
          <w:highlight w:val="none"/>
          <w:u w:val="single"/>
        </w:rPr>
        <w:t>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highlight w:val="none"/>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9186"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61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14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数字创意产业园配套工程EPC项目（二期）</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14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综合型号</w:t>
            </w:r>
            <w:r>
              <w:rPr>
                <w:rFonts w:hint="eastAsia" w:ascii="宋体" w:hAnsi="宋体" w:cs="宋体"/>
                <w:color w:val="000000" w:themeColor="text1"/>
                <w:szCs w:val="21"/>
                <w:highlight w:val="none"/>
                <w:lang w:eastAsia="zh-CN"/>
                <w14:textFill>
                  <w14:solidFill>
                    <w14:schemeClr w14:val="tx1"/>
                  </w14:solidFill>
                </w14:textFill>
              </w:rPr>
              <w:t>家具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14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综合型号</w:t>
            </w:r>
            <w:r>
              <w:rPr>
                <w:rFonts w:hint="eastAsia" w:ascii="宋体" w:hAnsi="宋体" w:cs="宋体"/>
                <w:color w:val="000000" w:themeColor="text1"/>
                <w:szCs w:val="21"/>
                <w:highlight w:val="none"/>
                <w:lang w:eastAsia="zh-CN"/>
                <w14:textFill>
                  <w14:solidFill>
                    <w14:schemeClr w14:val="tx1"/>
                  </w14:solidFill>
                </w14:textFill>
              </w:rPr>
              <w:t>家具</w:t>
            </w:r>
            <w:r>
              <w:rPr>
                <w:rFonts w:hint="eastAsia" w:ascii="宋体" w:hAnsi="宋体" w:cs="宋体"/>
                <w:color w:val="000000" w:themeColor="text1"/>
                <w:szCs w:val="21"/>
                <w:highlight w:val="none"/>
                <w:lang w:val="en-US" w:eastAsia="zh-CN"/>
                <w14:textFill>
                  <w14:solidFill>
                    <w14:schemeClr w14:val="tx1"/>
                  </w14:solidFill>
                </w14:textFill>
              </w:rPr>
              <w:t>6284件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营业执照经营范围包含家具销售相关范围</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lang w:eastAsia="zh-CN"/>
              </w:rPr>
              <w:t>单位负责人为同一人或者存在控股、管理关系的不同单位不能同时参与投标。</w:t>
            </w:r>
            <w:r>
              <w:rPr>
                <w:rFonts w:hint="eastAsia" w:asciiTheme="minorEastAsia" w:hAnsiTheme="minorEastAsia" w:eastAsia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6788644.57元，限价包含材料费、安装费、运输费、上下车费、二次转运费、施工现场管理费等所有费用。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报价要求</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color w:val="auto"/>
                <w:sz w:val="21"/>
                <w:szCs w:val="21"/>
                <w:highlight w:val="none"/>
              </w:rPr>
              <w:t>按进度分批次供货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4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auto"/>
                <w:szCs w:val="21"/>
                <w:highlight w:val="none"/>
                <w:lang w:val="en-US" w:eastAsia="zh-CN"/>
              </w:rPr>
              <w:t>支付方式：双方于货到当日就实际到场数量清点后对账，对账后招采方付至合同总金额的25%；中选方完成所有货物的供货、安装、摆放及现场的清洁维护后，并经招采方验收合格后，支付至合同总金额的80%；国家最终审计审核后双方办理结算，结算办理完成后一个月内支付到最终结算金额的97%；剩余3%作为质量保证金，质量保证金在质保期满后，在完善相关手续后一次性无息付清。（每次付款都必须在招采方收到中选方开具的当次应付款的全额增值税发票后再支付）。货款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按现场实际安装完成、验收合格的数量清点计量且最终结算金额和结算量均不超过业主审定的金额和量，如业主审定的金额和量有减少，结算金额和结算量也要减少</w:t>
            </w:r>
            <w:r>
              <w:rPr>
                <w:rFonts w:hint="eastAsia" w:ascii="宋体" w:hAnsi="宋体" w:cs="宋体"/>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auto"/>
                <w:sz w:val="21"/>
                <w:szCs w:val="21"/>
                <w:highlight w:val="none"/>
                <w:lang w:eastAsia="zh-CN"/>
              </w:rPr>
              <w:t>李小阳</w:t>
            </w:r>
            <w:r>
              <w:rPr>
                <w:rFonts w:hint="eastAsia" w:ascii="宋体" w:hAnsi="宋体" w:cs="宋体"/>
                <w:color w:val="auto"/>
                <w:sz w:val="21"/>
                <w:szCs w:val="21"/>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15</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16</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r>
              <w:rPr>
                <w:rFonts w:hint="eastAsia" w:ascii="宋体" w:hAnsi="宋体" w:cs="宋体"/>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营业执照经营范围包含家具销售相关范围</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71877701"/>
      <w:bookmarkStart w:id="2" w:name="_Toc123786822"/>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500861026"/>
      <w:bookmarkStart w:id="8" w:name="_Toc480020285"/>
      <w:bookmarkStart w:id="9" w:name="_Toc479991610"/>
      <w:bookmarkStart w:id="10" w:name="_Toc491658679"/>
      <w:bookmarkStart w:id="11" w:name="_Toc90779595"/>
      <w:bookmarkStart w:id="12" w:name="_Toc468157564"/>
      <w:bookmarkStart w:id="13" w:name="_Toc480010736"/>
      <w:bookmarkStart w:id="14" w:name="_Toc454701405"/>
      <w:bookmarkStart w:id="15" w:name="_Toc467236768"/>
      <w:bookmarkStart w:id="16" w:name="_Toc6397150"/>
      <w:bookmarkStart w:id="17" w:name="_Toc480021081"/>
      <w:bookmarkStart w:id="18" w:name="_Toc458262638"/>
      <w:bookmarkStart w:id="19" w:name="_Toc6727971"/>
      <w:bookmarkStart w:id="20" w:name="_Toc468606057"/>
      <w:bookmarkStart w:id="21" w:name="_Toc467987851"/>
      <w:bookmarkStart w:id="22" w:name="_Toc65998015"/>
      <w:bookmarkStart w:id="23" w:name="_Toc123786880"/>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35342046"/>
      <w:bookmarkStart w:id="25" w:name="_Toc50864444"/>
      <w:bookmarkStart w:id="26" w:name="_Toc91392962"/>
      <w:bookmarkStart w:id="27" w:name="_Toc123786890"/>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bookmarkEnd w:id="24"/>
    <w:bookmarkEnd w:id="25"/>
    <w:bookmarkEnd w:id="26"/>
    <w:bookmarkEnd w:id="27"/>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__________________________________________________________</w:t>
      </w:r>
      <w:r>
        <w:rPr>
          <w:rFonts w:hint="eastAsia" w:ascii="Times New Roman" w:hAnsi="Times New Roman" w:eastAsia="仿宋" w:cs="Times New Roman"/>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default"/>
          <w:lang w:val="en-US" w:eastAsia="zh-CN"/>
        </w:rPr>
        <w:sectPr>
          <w:pgSz w:w="11906" w:h="16838"/>
          <w:pgMar w:top="1100" w:right="1486" w:bottom="1213"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5"/>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6"/>
        <w:gridCol w:w="675"/>
        <w:gridCol w:w="1125"/>
        <w:gridCol w:w="1050"/>
        <w:gridCol w:w="855"/>
        <w:gridCol w:w="810"/>
        <w:gridCol w:w="5983"/>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noWrap w:val="0"/>
            <w:vAlign w:val="center"/>
          </w:tcPr>
          <w:p>
            <w:pPr>
              <w:keepNext w:val="0"/>
              <w:keepLines w:val="0"/>
              <w:widowControl/>
              <w:suppressLineNumbers w:val="0"/>
              <w:jc w:val="center"/>
              <w:textAlignment w:val="center"/>
              <w:rPr>
                <w:rFonts w:hint="eastAsia"/>
                <w:sz w:val="22"/>
                <w:szCs w:val="24"/>
                <w:lang w:val="en-US" w:eastAsia="zh-CN"/>
              </w:rPr>
            </w:pPr>
            <w:r>
              <w:rPr>
                <w:rFonts w:hint="eastAsia"/>
                <w:sz w:val="32"/>
                <w:szCs w:val="36"/>
                <w:lang w:val="en-US" w:eastAsia="zh-CN"/>
              </w:rPr>
              <w:t xml:space="preserve">_____________（填：合同名称）合同清单 </w:t>
            </w:r>
            <w:r>
              <w:rPr>
                <w:rFonts w:hint="eastAsia"/>
                <w:sz w:val="22"/>
                <w:szCs w:val="24"/>
                <w:lang w:val="en-US" w:eastAsia="zh-CN"/>
              </w:rPr>
              <w:t xml:space="preserve">              金额单位：元</w:t>
            </w:r>
          </w:p>
          <w:p>
            <w:pPr>
              <w:rPr>
                <w:rFonts w:hint="eastAsia"/>
                <w:sz w:val="22"/>
                <w:szCs w:val="24"/>
                <w:lang w:val="en-US" w:eastAsia="zh-CN"/>
              </w:rPr>
            </w:pPr>
          </w:p>
          <w:p>
            <w:pPr>
              <w:pStyle w:val="2"/>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10"/>
              <w:gridCol w:w="1635"/>
              <w:gridCol w:w="1140"/>
              <w:gridCol w:w="765"/>
              <w:gridCol w:w="765"/>
              <w:gridCol w:w="750"/>
              <w:gridCol w:w="103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736"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序号</w:t>
                  </w:r>
                </w:p>
              </w:tc>
              <w:tc>
                <w:tcPr>
                  <w:tcW w:w="171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货物（或应税劳务、服务等）名称</w:t>
                  </w:r>
                </w:p>
              </w:tc>
              <w:tc>
                <w:tcPr>
                  <w:tcW w:w="163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货物（或应税劳务、服务等）特征（规格、品牌）</w:t>
                  </w:r>
                </w:p>
              </w:tc>
              <w:tc>
                <w:tcPr>
                  <w:tcW w:w="114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计量原则及单位</w:t>
                  </w:r>
                </w:p>
              </w:tc>
              <w:tc>
                <w:tcPr>
                  <w:tcW w:w="76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暂定数量</w:t>
                  </w:r>
                </w:p>
              </w:tc>
              <w:tc>
                <w:tcPr>
                  <w:tcW w:w="76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税前单价</w:t>
                  </w:r>
                </w:p>
              </w:tc>
              <w:tc>
                <w:tcPr>
                  <w:tcW w:w="75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税前合价</w:t>
                  </w:r>
                </w:p>
              </w:tc>
              <w:tc>
                <w:tcPr>
                  <w:tcW w:w="103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税率</w:t>
                  </w:r>
                </w:p>
              </w:tc>
              <w:tc>
                <w:tcPr>
                  <w:tcW w:w="84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bl>
          <w:p/>
        </w:tc>
        <w:tc>
          <w:tcPr>
            <w:tcW w:w="236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28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8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trike w:val="0"/>
                <w:dstrike w:val="0"/>
                <w:color w:val="622423"/>
                <w:kern w:val="0"/>
                <w:sz w:val="24"/>
                <w:szCs w:val="24"/>
                <w:u w:val="single"/>
                <w:lang w:val="en-US" w:eastAsia="zh-CN" w:bidi="ar"/>
              </w:rPr>
              <w:t>合同范本批注：</w:t>
            </w:r>
          </w:p>
        </w:tc>
        <w:tc>
          <w:tcPr>
            <w:tcW w:w="675" w:type="dxa"/>
            <w:noWrap w:val="0"/>
            <w:vAlign w:val="center"/>
          </w:tcPr>
          <w:p>
            <w:pPr>
              <w:rPr>
                <w:rFonts w:hint="eastAsia" w:ascii="宋体" w:hAnsi="宋体" w:eastAsia="宋体" w:cs="宋体"/>
                <w:i w:val="0"/>
                <w:color w:val="000000"/>
                <w:sz w:val="24"/>
                <w:szCs w:val="24"/>
                <w:u w:val="none"/>
              </w:rPr>
            </w:pPr>
          </w:p>
        </w:tc>
        <w:tc>
          <w:tcPr>
            <w:tcW w:w="1125" w:type="dxa"/>
            <w:noWrap w:val="0"/>
            <w:vAlign w:val="center"/>
          </w:tcPr>
          <w:p>
            <w:pPr>
              <w:rPr>
                <w:rFonts w:hint="eastAsia" w:ascii="宋体" w:hAnsi="宋体" w:eastAsia="宋体" w:cs="宋体"/>
                <w:i w:val="0"/>
                <w:color w:val="000000"/>
                <w:sz w:val="24"/>
                <w:szCs w:val="24"/>
                <w:u w:val="none"/>
              </w:rPr>
            </w:pPr>
          </w:p>
        </w:tc>
        <w:tc>
          <w:tcPr>
            <w:tcW w:w="1050" w:type="dxa"/>
            <w:noWrap w:val="0"/>
            <w:vAlign w:val="center"/>
          </w:tcPr>
          <w:p>
            <w:pPr>
              <w:rPr>
                <w:rFonts w:hint="eastAsia" w:ascii="宋体" w:hAnsi="宋体" w:eastAsia="宋体" w:cs="宋体"/>
                <w:i w:val="0"/>
                <w:color w:val="000000"/>
                <w:sz w:val="24"/>
                <w:szCs w:val="24"/>
                <w:u w:val="none"/>
              </w:rPr>
            </w:pPr>
          </w:p>
        </w:tc>
        <w:tc>
          <w:tcPr>
            <w:tcW w:w="855" w:type="dxa"/>
            <w:noWrap w:val="0"/>
            <w:vAlign w:val="center"/>
          </w:tcPr>
          <w:p>
            <w:pPr>
              <w:rPr>
                <w:rFonts w:hint="eastAsia" w:ascii="宋体" w:hAnsi="宋体" w:eastAsia="宋体" w:cs="宋体"/>
                <w:i w:val="0"/>
                <w:color w:val="000000"/>
                <w:sz w:val="24"/>
                <w:szCs w:val="24"/>
                <w:u w:val="none"/>
              </w:rPr>
            </w:pPr>
          </w:p>
        </w:tc>
        <w:tc>
          <w:tcPr>
            <w:tcW w:w="810" w:type="dxa"/>
            <w:noWrap w:val="0"/>
            <w:vAlign w:val="center"/>
          </w:tcPr>
          <w:p>
            <w:pPr>
              <w:rPr>
                <w:rFonts w:hint="eastAsia" w:ascii="宋体" w:hAnsi="宋体" w:eastAsia="宋体" w:cs="宋体"/>
                <w:i w:val="0"/>
                <w:color w:val="000000"/>
                <w:sz w:val="24"/>
                <w:szCs w:val="24"/>
                <w:u w:val="none"/>
              </w:rPr>
            </w:pPr>
          </w:p>
        </w:tc>
        <w:tc>
          <w:tcPr>
            <w:tcW w:w="5983" w:type="dxa"/>
            <w:noWrap w:val="0"/>
            <w:vAlign w:val="center"/>
          </w:tcPr>
          <w:p>
            <w:pPr>
              <w:rPr>
                <w:rFonts w:hint="eastAsia" w:ascii="宋体" w:hAnsi="宋体" w:eastAsia="宋体" w:cs="宋体"/>
                <w:i w:val="0"/>
                <w:color w:val="000000"/>
                <w:sz w:val="24"/>
                <w:szCs w:val="24"/>
                <w:u w:val="none"/>
              </w:rPr>
            </w:pPr>
          </w:p>
        </w:tc>
        <w:tc>
          <w:tcPr>
            <w:tcW w:w="2364" w:type="dxa"/>
            <w:noWrap w:val="0"/>
            <w:vAlign w:val="center"/>
          </w:tcPr>
          <w:p>
            <w:pPr>
              <w:rPr>
                <w:rFonts w:hint="eastAsia" w:ascii="宋体" w:hAnsi="宋体" w:eastAsia="宋体" w:cs="宋体"/>
                <w:i w:val="0"/>
                <w:color w:val="000000"/>
                <w:sz w:val="24"/>
                <w:szCs w:val="24"/>
                <w:u w:val="none"/>
              </w:rPr>
            </w:pP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1、此表用于材料采购合同。</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2、若有单位换算的材料，备注说明换算值，换算值可为定值或区间值。</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3、收货计量方式</w:t>
            </w:r>
            <w:r>
              <w:rPr>
                <w:rFonts w:hint="eastAsia" w:ascii="宋体" w:hAnsi="宋体" w:cs="宋体"/>
                <w:i w:val="0"/>
                <w:strike w:val="0"/>
                <w:dstrike w:val="0"/>
                <w:color w:val="622423"/>
                <w:kern w:val="0"/>
                <w:sz w:val="24"/>
                <w:szCs w:val="24"/>
                <w:u w:val="single"/>
                <w:lang w:val="en-US" w:eastAsia="zh-CN" w:bidi="ar"/>
              </w:rPr>
              <w:t>：按现场实际安装完成、验收合格的数量清点计量且最终结算金额和结算量均不超过业主审定的金额和量，如业主审定的金额和量有减少，结算金额和结算量也要减少</w:t>
            </w:r>
            <w:r>
              <w:rPr>
                <w:rFonts w:hint="eastAsia" w:ascii="宋体" w:hAnsi="宋体" w:eastAsia="宋体" w:cs="宋体"/>
                <w:i w:val="0"/>
                <w:strike w:val="0"/>
                <w:dstrike w:val="0"/>
                <w:color w:val="622423"/>
                <w:kern w:val="0"/>
                <w:sz w:val="24"/>
                <w:szCs w:val="24"/>
                <w:u w:val="single"/>
                <w:lang w:val="en-US" w:eastAsia="zh-CN" w:bidi="ar"/>
              </w:rPr>
              <w:t>。</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4、可备注“含税单价”是否包含运输、上下车费等相关信息。</w:t>
            </w:r>
          </w:p>
        </w:tc>
        <w:tc>
          <w:tcPr>
            <w:tcW w:w="1273" w:type="dxa"/>
            <w:noWrap w:val="0"/>
            <w:vAlign w:val="center"/>
          </w:tcPr>
          <w:p>
            <w:pPr>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pStyle w:val="2"/>
        <w:rPr>
          <w:rFonts w:hint="eastAsia" w:ascii="宋体" w:hAnsi="宋体" w:cs="宋体"/>
          <w:b/>
          <w:sz w:val="30"/>
          <w:highlight w:val="none"/>
        </w:rPr>
      </w:pPr>
    </w:p>
    <w:p>
      <w:pPr>
        <w:rPr>
          <w:rFonts w:hint="eastAsia" w:ascii="宋体" w:hAnsi="宋体" w:cs="宋体"/>
          <w:b/>
          <w:sz w:val="30"/>
          <w:highlight w:val="none"/>
        </w:rPr>
      </w:pPr>
    </w:p>
    <w:p>
      <w:pPr>
        <w:pStyle w:val="2"/>
        <w:rPr>
          <w:rFonts w:hint="eastAsia"/>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数字创意产业园配套工程EPC项目（二期）家具采购（第二次）</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2021-03-003</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hint="eastAsia"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数字创意产业园配套工程EPC项目（二期）家具采购（第二次）</w:t>
      </w:r>
      <w:r>
        <w:rPr>
          <w:rFonts w:hint="eastAsia" w:ascii="宋体" w:hAnsi="宋体" w:cs="宋体"/>
          <w:sz w:val="28"/>
          <w:szCs w:val="28"/>
          <w:highlight w:val="none"/>
        </w:rPr>
        <w:t>（项目名称）招采文件的全部内容，</w:t>
      </w:r>
      <w:r>
        <w:rPr>
          <w:rFonts w:hint="eastAsia" w:asciiTheme="minorEastAsia" w:hAnsiTheme="minorEastAsia" w:eastAsiaTheme="minorEastAsia" w:cstheme="minorEastAsia"/>
          <w:color w:val="auto"/>
          <w:sz w:val="28"/>
          <w:szCs w:val="28"/>
          <w:highlight w:val="none"/>
        </w:rPr>
        <w:t>愿意以</w:t>
      </w:r>
      <w:r>
        <w:rPr>
          <w:rFonts w:hint="eastAsia" w:asciiTheme="minorEastAsia" w:hAnsiTheme="minorEastAsia" w:eastAsiaTheme="minorEastAsia" w:cstheme="minorEastAsia"/>
          <w:color w:val="auto"/>
          <w:sz w:val="28"/>
          <w:szCs w:val="28"/>
          <w:highlight w:val="none"/>
          <w:lang w:val="en-US"/>
        </w:rPr>
        <w:t>人民币</w:t>
      </w:r>
      <w:r>
        <w:rPr>
          <w:rFonts w:hint="eastAsia" w:asciiTheme="minorEastAsia" w:hAnsiTheme="minorEastAsia" w:eastAsiaTheme="minorEastAsia" w:cstheme="minorEastAsia"/>
          <w:color w:val="auto"/>
          <w:sz w:val="28"/>
          <w:szCs w:val="28"/>
          <w:highlight w:val="none"/>
          <w:lang w:val="en-US" w:eastAsia="zh-CN"/>
        </w:rPr>
        <w:t>（大写）</w:t>
      </w:r>
      <w:r>
        <w:rPr>
          <w:rFonts w:hint="eastAsia" w:asciiTheme="minorEastAsia" w:hAnsiTheme="minorEastAsia" w:eastAsiaTheme="minorEastAsia" w:cstheme="minorEastAsia"/>
          <w:color w:val="auto"/>
          <w:sz w:val="28"/>
          <w:szCs w:val="28"/>
          <w:highlight w:val="none"/>
          <w:u w:val="single"/>
          <w:lang w:val="en-US" w:eastAsia="zh-CN"/>
        </w:rPr>
        <w:t xml:space="preserve">      元</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不含税</w:t>
      </w:r>
      <w:r>
        <w:rPr>
          <w:rFonts w:hint="eastAsia" w:asciiTheme="minorEastAsia" w:hAnsiTheme="minorEastAsia" w:eastAsiaTheme="minorEastAsia" w:cstheme="minorEastAsia"/>
          <w:color w:val="auto"/>
          <w:sz w:val="28"/>
          <w:szCs w:val="28"/>
          <w:highlight w:val="none"/>
        </w:rPr>
        <w:t>的投标</w:t>
      </w:r>
      <w:r>
        <w:rPr>
          <w:rFonts w:hint="eastAsia" w:asciiTheme="minorEastAsia" w:hAnsiTheme="minorEastAsia" w:eastAsiaTheme="minorEastAsia" w:cstheme="minorEastAsia"/>
          <w:color w:val="auto"/>
          <w:sz w:val="28"/>
          <w:szCs w:val="28"/>
          <w:highlight w:val="none"/>
          <w:lang w:eastAsia="zh-CN"/>
        </w:rPr>
        <w:t>总报价</w:t>
      </w:r>
      <w:r>
        <w:rPr>
          <w:rFonts w:hint="eastAsia" w:asciiTheme="minorEastAsia" w:hAnsiTheme="minorEastAsia" w:eastAsiaTheme="minorEastAsia" w:cstheme="minorEastAsia"/>
          <w:color w:val="auto"/>
          <w:sz w:val="28"/>
          <w:szCs w:val="28"/>
          <w:highlight w:val="none"/>
        </w:rPr>
        <w:t>参与投标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此报价包含招采范围内的所有工</w:t>
      </w:r>
      <w:r>
        <w:rPr>
          <w:rFonts w:hint="eastAsia" w:asciiTheme="minorEastAsia" w:hAnsiTheme="minorEastAsia" w:eastAsiaTheme="minorEastAsia" w:cstheme="minorEastAsia"/>
          <w:color w:val="auto"/>
          <w:sz w:val="28"/>
          <w:szCs w:val="28"/>
          <w:highlight w:val="none"/>
          <w:lang w:eastAsia="zh-CN"/>
        </w:rPr>
        <w:t>作</w:t>
      </w:r>
      <w:r>
        <w:rPr>
          <w:rFonts w:hint="eastAsia" w:asciiTheme="minorEastAsia" w:hAnsiTheme="minorEastAsia" w:eastAsiaTheme="minorEastAsia" w:cstheme="minorEastAsia"/>
          <w:color w:val="auto"/>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520" w:lineRule="exact"/>
        <w:ind w:left="2100" w:leftChars="1000"/>
        <w:jc w:val="left"/>
        <w:textAlignment w:val="auto"/>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500861027"/>
      <w:bookmarkStart w:id="31" w:name="_Toc6727972"/>
      <w:bookmarkStart w:id="32" w:name="_Toc90779596"/>
      <w:bookmarkStart w:id="33" w:name="_Toc26066260"/>
      <w:bookmarkStart w:id="34" w:name="_Toc491658680"/>
      <w:bookmarkStart w:id="35" w:name="_Toc65998016"/>
      <w:bookmarkStart w:id="36" w:name="_Toc6397151"/>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数字创意产业园配套工程EPC项目（二期）家具采购（第二次）</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5926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jc w:val="center"/>
        <w:rPr>
          <w:rFonts w:ascii="宋体" w:hAnsi="宋体" w:cs="宋体"/>
          <w:b/>
          <w:sz w:val="28"/>
          <w:szCs w:val="28"/>
          <w:highlight w:val="none"/>
        </w:rPr>
      </w:pPr>
      <w:r>
        <w:rPr>
          <w:rFonts w:hint="eastAsia" w:ascii="宋体" w:hAnsi="宋体"/>
          <w:b/>
          <w:sz w:val="28"/>
          <w:szCs w:val="28"/>
          <w:highlight w:val="none"/>
        </w:rPr>
        <w:br w:type="page"/>
      </w:r>
      <w:r>
        <w:rPr>
          <w:rFonts w:hint="eastAsia" w:ascii="宋体" w:hAnsi="宋体" w:cs="宋体"/>
          <w:b/>
          <w:sz w:val="28"/>
          <w:szCs w:val="28"/>
          <w:highlight w:val="none"/>
        </w:rPr>
        <w:t>三、法定代表人授权书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数字创意产业园配套工程EPC项目（二期）家具采购（第二次）</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7"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yMKraAAAACgEAAA8AAAAAAAAAAQAgAAAAIgAAAGRycy9kb3ducmV2&#10;LnhtbFBLAQIUABQAAAAIAIdO4kBLDmqd+gEAADsEAAAOAAAAAAAAAAEAIAAAACkBAABkcnMvZTJv&#10;RG9jLnhtbFBLBQYAAAAABgAGAFkBAACV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pStyle w:val="2"/>
      </w:pPr>
    </w:p>
    <w:bookmarkEnd w:id="37"/>
    <w:p>
      <w:pPr>
        <w:widowControl/>
        <w:numPr>
          <w:ilvl w:val="0"/>
          <w:numId w:val="4"/>
        </w:numPr>
        <w:jc w:val="center"/>
        <w:outlineLvl w:val="4"/>
        <w:rPr>
          <w:rFonts w:hint="eastAsia" w:ascii="宋体" w:hAnsi="宋体" w:cs="宋体"/>
          <w:b/>
          <w:sz w:val="28"/>
          <w:szCs w:val="28"/>
          <w:highlight w:val="none"/>
        </w:rPr>
      </w:pPr>
      <w:bookmarkStart w:id="38" w:name="_Toc123786886"/>
      <w:r>
        <w:rPr>
          <w:rFonts w:hint="eastAsia" w:ascii="宋体" w:hAnsi="宋体" w:cs="宋体"/>
          <w:b/>
          <w:sz w:val="28"/>
          <w:szCs w:val="28"/>
          <w:highlight w:val="none"/>
        </w:rPr>
        <w:t>投标报价表（材料采购）</w:t>
      </w:r>
    </w:p>
    <w:tbl>
      <w:tblPr>
        <w:tblStyle w:val="6"/>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641"/>
        <w:gridCol w:w="616"/>
        <w:gridCol w:w="1400"/>
        <w:gridCol w:w="617"/>
        <w:gridCol w:w="594"/>
        <w:gridCol w:w="887"/>
        <w:gridCol w:w="1038"/>
        <w:gridCol w:w="450"/>
        <w:gridCol w:w="63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序号</w:t>
            </w:r>
          </w:p>
        </w:tc>
        <w:tc>
          <w:tcPr>
            <w:tcW w:w="1641"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名称</w:t>
            </w:r>
          </w:p>
        </w:tc>
        <w:tc>
          <w:tcPr>
            <w:tcW w:w="616"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cs="宋体"/>
                <w:i w:val="0"/>
                <w:color w:val="000000"/>
                <w:kern w:val="0"/>
                <w:sz w:val="24"/>
                <w:szCs w:val="24"/>
                <w:highlight w:val="none"/>
                <w:u w:val="none"/>
                <w:lang w:val="en-US" w:eastAsia="zh-CN" w:bidi="ar"/>
              </w:rPr>
              <w:t>品牌</w:t>
            </w:r>
          </w:p>
        </w:tc>
        <w:tc>
          <w:tcPr>
            <w:tcW w:w="1400"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规格型号</w:t>
            </w:r>
          </w:p>
        </w:tc>
        <w:tc>
          <w:tcPr>
            <w:tcW w:w="617"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计量</w:t>
            </w:r>
            <w:r>
              <w:rPr>
                <w:rStyle w:val="9"/>
                <w:highlight w:val="none"/>
                <w:lang w:val="en-US" w:eastAsia="zh-CN" w:bidi="ar"/>
              </w:rPr>
              <w:t>单位</w:t>
            </w:r>
          </w:p>
        </w:tc>
        <w:tc>
          <w:tcPr>
            <w:tcW w:w="594"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暂定</w:t>
            </w:r>
          </w:p>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数量</w:t>
            </w:r>
          </w:p>
        </w:tc>
        <w:tc>
          <w:tcPr>
            <w:tcW w:w="1925" w:type="dxa"/>
            <w:gridSpan w:val="2"/>
            <w:vAlign w:val="center"/>
          </w:tcPr>
          <w:p>
            <w:pPr>
              <w:keepNext w:val="0"/>
              <w:keepLines w:val="0"/>
              <w:widowControl/>
              <w:suppressLineNumbers w:val="0"/>
              <w:jc w:val="both"/>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限价</w:t>
            </w:r>
            <w:r>
              <w:rPr>
                <w:rStyle w:val="9"/>
                <w:highlight w:val="none"/>
                <w:lang w:val="en-US" w:eastAsia="zh-CN" w:bidi="ar"/>
              </w:rPr>
              <w:t>（不含税）</w:t>
            </w:r>
          </w:p>
        </w:tc>
        <w:tc>
          <w:tcPr>
            <w:tcW w:w="1087" w:type="dxa"/>
            <w:gridSpan w:val="2"/>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报价</w:t>
            </w:r>
            <w:r>
              <w:rPr>
                <w:rStyle w:val="9"/>
                <w:highlight w:val="none"/>
                <w:lang w:val="en-US" w:eastAsia="zh-CN" w:bidi="ar"/>
              </w:rPr>
              <w:t>（不含税）</w:t>
            </w:r>
          </w:p>
        </w:tc>
        <w:tc>
          <w:tcPr>
            <w:tcW w:w="1163"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1641"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616"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1400"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617"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594"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887"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单价</w:t>
            </w:r>
          </w:p>
        </w:tc>
        <w:tc>
          <w:tcPr>
            <w:tcW w:w="1038"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合价</w:t>
            </w:r>
          </w:p>
        </w:tc>
        <w:tc>
          <w:tcPr>
            <w:tcW w:w="450"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单价</w:t>
            </w:r>
          </w:p>
        </w:tc>
        <w:tc>
          <w:tcPr>
            <w:tcW w:w="637"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合价</w:t>
            </w:r>
          </w:p>
        </w:tc>
        <w:tc>
          <w:tcPr>
            <w:tcW w:w="1163"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异形沙发（3450*1400*800）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3450*1400*800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18538.58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37077.16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茶几（1000*1000*420）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1000*1000*420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2938.78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5877.56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单人沙发（780*850*800）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780*850*800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3889.31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7778.62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餐桌（1500*1500*750）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1500*1500*750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4366.40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17465.6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30198.4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餐边柜（1200*400*800）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2521.44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10085.76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沙发（1600*800*800）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7385.47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14770.94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角几（500*500*450）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500*500*450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609.71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1219.42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餐桌（1100*1100*750）)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1100*1100*750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3903.00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15612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餐边柜（1500*300*800）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（1500*300*800）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2967.00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11868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18119.04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540.84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97351.2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小方桌（600*600*750）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550.58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24225.52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长条餐桌（1200*700）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1413.01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33912.24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卡座（7100*600*750）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7100*600*750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17744.74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53234.22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备餐柜（1200*600*2200）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3446.38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75820.36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隔断装饰柜（1200*600*2200）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3446.38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6892.76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隔断装饰柜（1200*400*2200）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3330.90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3330.9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长条桌（3600*700*760）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3600*700*760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7934.25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15868.5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圆几（800*800*750）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958.31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3833.24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1202.25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14427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脚踏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（850*520*420）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850*520*420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723.61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5788.88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桌子（1200*500*750）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970.50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27174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444.09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24869.04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讲台（常规）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4897.76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4897.76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音控室桌子（1800*700*750）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754.05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754.05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395.38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露台长桌（1600*900*750）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1600*900*750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6227.64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长桌椅子（常规）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5098.32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3楼露台圆桌（直径1000*750）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1147.63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2295.26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3楼露台圆桌（直径800*750）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888.90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1777.8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3楼露台圆桌椅（常规）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5948.04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会议桌（2100*1000*750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3951.98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7903.96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497.56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5970.72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会议圆桌（800*800*750)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864.19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1728.38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会议圆桌椅</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3537.28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小会议室会议桌（4500*1500*750）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4500*1500*750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19198.35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38396.7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小会议室会议椅子</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高靠背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1293.92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36229.76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办公室四人桌（2800*1200*750）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2178.36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8713.44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办公室双人桌（1400*1200*750）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1087.48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2174.96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办公室L形单人位（1600*1400*750)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（1600*1400*750)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2141.23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42824.6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办公椅</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30016.5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办公单人桌（1400*600*750）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5936.32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办公单人桌（1200*600*750）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699.14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1398.28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19769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17082.2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大会议室椅子（常规）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638.06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26798.52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讲台（常规）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4897.76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4897.76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音控室桌子（1800*700*750）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754.05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754.05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395.38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四层小会议室会议桌（4500*1500*750）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4500*1500*750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19198.35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38396.7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四层小会议室椅子（常规）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高靠背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1293.92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36229.76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四楼商业配套会议桌）2100*1000*750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3529.89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14119.56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四楼商业配套会议椅（常规）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497.56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11941.44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四楼商业配套圆桌（直径800*H750）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864.19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3456.76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四楼商业配套圆桌椅子（常规）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7074.56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四楼商业配套双人沙发（1600*830*750）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1600*830*750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8303.52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四楼商业配套边几（600*600*450）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2760.76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茶几（1000*600*450）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948.26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1896.52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单人沙发</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1184.76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2369.52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露台圆几（直径800*H750）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888.90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1777.8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3398.88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四楼休闲区休闲椅(常规）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3450.95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四楼休闲区休闲桌（直径700*H450）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直径700*H450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912.23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1824.46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休闲办公长桌（5100*1100*750）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5100*1100*750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16794.21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16794.21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休闲办公长桌椅（常规）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8282.28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休闲办公圆桌(900*900*750)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900*900*750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976.83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2930.49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休闲办公圆桌椅子(常规）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5305.92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圆桌子(直径800*H750)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958.31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2874.93</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1202.25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7213.5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单人办公桌（1400*600*750）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14840.8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单人办公桌（1200*600*750）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699.14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1398.28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20559.76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L形单人办公桌(1600*1400*750)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1600*1400*750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2141.23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17129.84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11790.45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六人位办公桌</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3269.24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9807.72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休闲式办公区办公桌四人位（2800*1200*750）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2178.36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2178.36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八人位办公桌带侧柜（5600*3600）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5600*3600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10652.91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10652.91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单人带活动柜书桌（1600*1200*750）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1941.58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3883.16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11957.54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文件柜（1200*400*1400）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1002.82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24067.68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文件柜（1600*400*1400）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1184.76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4739.04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44424.42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圆桌（800*800*750）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864.19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1728.38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5521.52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单人休息位小桌子（600*600*750）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771.86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1543.72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单人休息位椅子（常规）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2760.76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前台（2800*600*1000）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2800*600*1000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5959.55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5959.55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异形沙发（（3450*1400*800）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（3450*1400*800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18538.58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18538.58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茶几（900*420）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900*420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2938.78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2938.78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单人沙发（780*850*800）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780*850*800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3889.31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3889.31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休闲式办公区办公桌转角双人位（带柜子）（1600*2400*760）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1600*2400*760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5110.14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15330.42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休闲式办公区办公桌六人位（带侧柜）(4200*1200*750（桌）/2400*600*1100（柜)</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4200*1200*750（桌）/2400*600*1100（柜</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4183.38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4183.38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10388.56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14233.68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办公室钢制镂空书架（1200*400*2200）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1370.41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16444.92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前台办公室文件柜（1100*400*1400）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952.63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6668.41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1708.22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休闲式办公区转角单人办公桌带柜（1600*1200*750）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1941.58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3883.16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休闲式办公区办公桌带柜子4人位（3200*1200*750 ）</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3200*1200*750 </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3092.50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12370</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休闲式办公区侧柜(1200*400*1100)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724.35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2897.4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26414.52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洽谈室桌子（1500*800*750）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2967.00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5934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6039.68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洽谈室桌子（2100*1000*750）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3951.98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7903.96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9059.52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洽谈室沙发（1600*830*750）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1600*830*750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4151.76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洽谈室茶几（1000*600*450）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948.26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1896.52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洽谈室圆桌子（直径800*H750）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881.09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1762.18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3537.28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8501.27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9646.52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休闲式办公区U型办公桌4人位（3200*2800*750）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17002.54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9884.5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休闲式办公散座区桌子（4000*1000*77）</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4000*1000*770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7934.25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7934.25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休闲式办公散座区椅子（550*455*830,SH:445）</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550*455*830,SH:445</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4831.33</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休闲式办公区办公椅子（符合人体工程学）</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符合人体工程学</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19810.89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休闲式办公区会议桌（4500*1500*760）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4500*1500*760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19648.02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39296.04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休闲式办公区会议椅子(常规)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高靠背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1293.92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36229.76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休闲式办公区办公桌转角双人位（带柜子）(1600*2400*760)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1600*2400*760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5110.14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15330.42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休闲式办公区办公桌六人位（带侧柜）(4200*1200*750（桌）/2400*600*1100（柜)</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4200*1200*750（桌）/2400*600*1100（柜</w:t>
            </w:r>
            <w:r>
              <w:rPr>
                <w:rFonts w:hint="eastAsia" w:ascii="宋体" w:hAnsi="宋体" w:cs="宋体"/>
                <w:i w:val="0"/>
                <w:iCs w:val="0"/>
                <w:color w:val="000000"/>
                <w:kern w:val="0"/>
                <w:sz w:val="16"/>
                <w:szCs w:val="16"/>
                <w:u w:val="none"/>
                <w:lang w:val="en-US" w:eastAsia="zh-CN" w:bidi="ar"/>
              </w:rPr>
              <w:t>）</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4183.38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4183.38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10388.56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14233.68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办公室钢制镂空书架(1200*400*2200)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1370.41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27408.2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前台办公室文件柜(1100*400*1400)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952.63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6668.41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1708.22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休闲式办公区转角办公桌带柜(1600*1200*750)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2115.71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4231.42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休闲式办公区办公桌4人位(2800*1200*750 )</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2800*1200*750 </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3092.50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12370</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休闲式办公区侧柜(1200*400*1100)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724.35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5794.8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26414.52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洽谈室桌子（1600*800*750）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（1500*800*75）</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2967.00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5934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6039.68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会议桌（2100*1000*750）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3529.89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7059.78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9059.52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洽谈室沙发（1600*830*750）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1600*830*750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4151.76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洽谈室茶几（1000*600*450）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813.46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1626.92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洽谈室圆桌子（直径800*H750）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881.09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1762.18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3537.28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8501.27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8904.48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休闲式办公区U型办公桌4人位（3200*2800*750）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17002.54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9489.12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休闲式办公散座区桌子（4000*1000*770）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4000*1000*770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7934.25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7934.25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休闲式办公散座区椅子（550*455*830,SH:445）</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550*455*830,SH:445</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4831.33</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休闲式办公区办公椅子（符合人体工程学）</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符合人体工程学</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19210.56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四层办公区大会议室讲台（常规）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4897.76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4897.76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四层办公区大会议室会议组合桌子（3600*450*750）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3600*450*750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2669.96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2669.96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音控室桌子（1800*700*750）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754.05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754.05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395.38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四层办公区音控室椅子（常规）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455.25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910.5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四层办公区大会议室会议椅子（常规）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638.06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29350.76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过道休闲桌（直径800*H750)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958.31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1916.62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过道休闲椅(常规）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1202.25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4809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露台休闲方桌（1600*900*750）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1600*900*750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6227.64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5098.32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露台休闲圆桌（直径1000*H750）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直径1000*H750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1147.63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2295.26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3398.88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露台休闲圆桌（直径800*H500）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直径800*H500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1060.50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1060.5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1274.58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双人床（1500*2000）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1500*2000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3112.33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1129775.79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双人床（1800*2000）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1800*2000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4034.66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141213.1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床头柜（500W*50D*500H）</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500W*500D*500H</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728.98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580268.08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大茶几（1250*700*450）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1250*700*450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1845.59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112580.99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小茶几（1100*550*450）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1100*550*450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1453.40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274692.6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餐桌（700圆形）</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700圆形成品餐桌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1268.67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460527.21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餐桌（1400*700）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1400*700餐桌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1249.37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43727.95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餐椅（780*550*600）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780*550*600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张</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866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590.68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511528.88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沙发（2100*800）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2100*800成品沙发</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2678.87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163411.07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双人沙发（1700*800）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1700*800成品沙发</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2413.76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456200.64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写字台1400*600*750（附柜1200*320*620）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写字台1400*600*750（附柜1200*320*620）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3574.70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125114.5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写字台（1300W*550D*750）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1300W*550D*750H</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1006.54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365374.02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电脑椅(780*550*600)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780*550*600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590.68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235090.64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鞋柜（大）1400*400*1100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1286.50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45027.5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鞋柜（小）800*400*1100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1059.03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27534.78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穿衣镜（500*1600）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500*1600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398.00 </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219.38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87313.24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换鞋凳（850*450*450）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850*450*450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300.00 </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516.42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154926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4274" w:type="dxa"/>
            <w:gridSpan w:val="4"/>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22"/>
                <w:szCs w:val="22"/>
                <w:u w:val="none"/>
                <w:lang w:val="en-US" w:eastAsia="zh-CN" w:bidi="ar"/>
              </w:rPr>
              <w:t>合计</w:t>
            </w:r>
          </w:p>
        </w:tc>
        <w:tc>
          <w:tcPr>
            <w:tcW w:w="59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6284</w:t>
            </w:r>
          </w:p>
        </w:tc>
        <w:tc>
          <w:tcPr>
            <w:tcW w:w="1925" w:type="dxa"/>
            <w:gridSpan w:val="2"/>
            <w:vAlign w:val="center"/>
          </w:tcPr>
          <w:p>
            <w:pPr>
              <w:keepNext w:val="0"/>
              <w:keepLines w:val="0"/>
              <w:widowControl/>
              <w:suppressLineNumbers w:val="0"/>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6788644.57</w:t>
            </w:r>
          </w:p>
        </w:tc>
        <w:tc>
          <w:tcPr>
            <w:tcW w:w="1087" w:type="dxa"/>
            <w:gridSpan w:val="2"/>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p>
        </w:tc>
        <w:tc>
          <w:tcPr>
            <w:tcW w:w="116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r>
    </w:tbl>
    <w:p>
      <w:pPr>
        <w:rPr>
          <w:rFonts w:hint="eastAsia" w:ascii="宋体" w:hAnsi="宋体" w:cs="宋体"/>
          <w:b/>
          <w:sz w:val="28"/>
          <w:szCs w:val="28"/>
          <w:highlight w:val="none"/>
          <w:lang w:val="en-US" w:eastAsia="zh-CN"/>
        </w:rPr>
      </w:pPr>
    </w:p>
    <w:p>
      <w:pPr>
        <w:rPr>
          <w:rFonts w:hint="eastAsia" w:ascii="宋体" w:hAnsi="宋体" w:eastAsia="宋体" w:cs="宋体"/>
          <w:sz w:val="28"/>
          <w:szCs w:val="28"/>
          <w:highlight w:val="none"/>
          <w:lang w:eastAsia="zh-CN"/>
        </w:rPr>
      </w:pPr>
      <w:r>
        <w:rPr>
          <w:rFonts w:hint="eastAsia" w:ascii="宋体" w:hAnsi="宋体" w:cs="宋体"/>
          <w:b/>
          <w:sz w:val="28"/>
          <w:szCs w:val="28"/>
          <w:highlight w:val="none"/>
          <w:lang w:val="en-US" w:eastAsia="zh-CN"/>
        </w:rPr>
        <w:t>注</w:t>
      </w:r>
      <w:r>
        <w:rPr>
          <w:rFonts w:hint="eastAsia" w:ascii="宋体" w:hAnsi="宋体" w:cs="宋体"/>
          <w:b/>
          <w:color w:val="auto"/>
          <w:sz w:val="28"/>
          <w:szCs w:val="28"/>
          <w:highlight w:val="none"/>
          <w:lang w:val="en-US" w:eastAsia="zh-CN"/>
        </w:rPr>
        <w:t>：</w:t>
      </w:r>
      <w:r>
        <w:rPr>
          <w:rFonts w:hint="eastAsia" w:ascii="宋体" w:hAnsi="宋体" w:cs="宋体"/>
          <w:color w:val="auto"/>
          <w:sz w:val="28"/>
          <w:szCs w:val="28"/>
          <w:highlight w:val="none"/>
          <w:lang w:eastAsia="zh-CN"/>
        </w:rPr>
        <w:t>报</w:t>
      </w:r>
      <w:r>
        <w:rPr>
          <w:rFonts w:hint="eastAsia" w:ascii="宋体" w:hAnsi="宋体" w:cs="宋体"/>
          <w:color w:val="auto"/>
          <w:sz w:val="28"/>
          <w:szCs w:val="28"/>
          <w:highlight w:val="none"/>
        </w:rPr>
        <w:t>价包含材料费、安装费、运输费、上下车费、二次转运费、施工现场管理费等所有费用。</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p>
    <w:p>
      <w:pPr>
        <w:ind w:left="3150" w:leftChars="1500"/>
        <w:rPr>
          <w:rFonts w:hint="eastAsia" w:ascii="宋体" w:hAnsi="宋体" w:cs="宋体"/>
          <w:b/>
          <w:sz w:val="28"/>
          <w:szCs w:val="28"/>
          <w:highlight w:val="none"/>
          <w:lang w:eastAsia="zh-CN"/>
        </w:rPr>
      </w:pPr>
      <w:r>
        <w:rPr>
          <w:rFonts w:hint="eastAsia" w:ascii="Times New Roman" w:hAnsi="Times New Roman" w:cs="宋体"/>
          <w:sz w:val="28"/>
          <w:szCs w:val="28"/>
          <w:highlight w:val="none"/>
        </w:rPr>
        <w:br w:type="page"/>
      </w:r>
      <w:bookmarkEnd w:id="30"/>
      <w:bookmarkEnd w:id="31"/>
      <w:bookmarkEnd w:id="32"/>
      <w:bookmarkEnd w:id="33"/>
      <w:bookmarkEnd w:id="34"/>
      <w:bookmarkEnd w:id="35"/>
      <w:bookmarkEnd w:id="36"/>
      <w:bookmarkEnd w:id="38"/>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lang w:eastAsia="zh-CN"/>
        </w:rPr>
      </w:pPr>
    </w:p>
    <w:p>
      <w:pPr>
        <w:rPr>
          <w:rFonts w:hint="eastAsia" w:ascii="宋体" w:hAnsi="宋体" w:cs="宋体"/>
          <w:b/>
          <w:sz w:val="28"/>
          <w:szCs w:val="28"/>
          <w:highlight w:val="none"/>
          <w:lang w:eastAsia="zh-CN"/>
        </w:rPr>
      </w:pPr>
    </w:p>
    <w:p>
      <w:pPr>
        <w:pStyle w:val="2"/>
        <w:rPr>
          <w:rFonts w:hint="eastAsia"/>
          <w:lang w:eastAsia="zh-CN"/>
        </w:rPr>
      </w:pPr>
    </w:p>
    <w:p>
      <w:pPr>
        <w:widowControl w:val="0"/>
        <w:numPr>
          <w:ilvl w:val="0"/>
          <w:numId w:val="4"/>
        </w:numPr>
        <w:ind w:left="0" w:leftChars="0" w:firstLine="0" w:firstLineChars="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spacing w:line="560" w:lineRule="exact"/>
        <w:jc w:val="center"/>
        <w:rPr>
          <w:rFonts w:hint="eastAsia" w:ascii="宋体" w:hAnsi="宋体" w:cs="宋体"/>
          <w:b/>
          <w:color w:val="auto"/>
          <w:sz w:val="44"/>
          <w:szCs w:val="44"/>
          <w:highlight w:val="none"/>
          <w:lang w:val="en-US" w:eastAsia="zh-CN"/>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数字创意产业园配套工程EPC项目（二期）家具采购（第二次</w:t>
      </w:r>
      <w:bookmarkStart w:id="39" w:name="_GoBack"/>
      <w:bookmarkEnd w:id="39"/>
      <w:r>
        <w:rPr>
          <w:rFonts w:hint="eastAsia" w:ascii="宋体" w:hAnsi="宋体" w:cs="宋体"/>
          <w:b/>
          <w:color w:val="auto"/>
          <w:sz w:val="44"/>
          <w:szCs w:val="44"/>
          <w:highlight w:val="none"/>
          <w:lang w:val="en-US" w:eastAsia="zh-CN"/>
        </w:rPr>
        <w:t>）</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rFonts w:hint="default"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2021-03-003</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Pr>
        <w:rPr>
          <w:highlight w:val="none"/>
        </w:rPr>
      </w:pPr>
    </w:p>
    <w:p>
      <w:pPr>
        <w:rPr>
          <w:highlight w:val="none"/>
        </w:rPr>
      </w:pPr>
    </w:p>
    <w:p>
      <w:pPr>
        <w:rPr>
          <w:highlight w:val="none"/>
        </w:rPr>
      </w:pPr>
    </w:p>
    <w:sectPr>
      <w:footerReference r:id="rId3"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abstractNum w:abstractNumId="3">
    <w:nsid w:val="5D5F8FCA"/>
    <w:multiLevelType w:val="singleLevel"/>
    <w:tmpl w:val="5D5F8FCA"/>
    <w:lvl w:ilvl="0" w:tentative="0">
      <w:start w:val="4"/>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962214"/>
    <w:rsid w:val="00F43F4A"/>
    <w:rsid w:val="0115087B"/>
    <w:rsid w:val="01AD5DF6"/>
    <w:rsid w:val="01BC19CC"/>
    <w:rsid w:val="01CE48C4"/>
    <w:rsid w:val="026273BC"/>
    <w:rsid w:val="03191F7A"/>
    <w:rsid w:val="03347E8E"/>
    <w:rsid w:val="0394180B"/>
    <w:rsid w:val="041304CD"/>
    <w:rsid w:val="04722C46"/>
    <w:rsid w:val="05087396"/>
    <w:rsid w:val="051C6287"/>
    <w:rsid w:val="05610E0F"/>
    <w:rsid w:val="057A578A"/>
    <w:rsid w:val="05972E5C"/>
    <w:rsid w:val="06F17F96"/>
    <w:rsid w:val="07771439"/>
    <w:rsid w:val="07950C4A"/>
    <w:rsid w:val="0804309B"/>
    <w:rsid w:val="085A3F9C"/>
    <w:rsid w:val="08A02140"/>
    <w:rsid w:val="090A52C8"/>
    <w:rsid w:val="09420F93"/>
    <w:rsid w:val="09765F4B"/>
    <w:rsid w:val="09E86A2F"/>
    <w:rsid w:val="0A114B47"/>
    <w:rsid w:val="0A3D65C2"/>
    <w:rsid w:val="0A5E3CCC"/>
    <w:rsid w:val="0A744909"/>
    <w:rsid w:val="0B98424B"/>
    <w:rsid w:val="0C165E84"/>
    <w:rsid w:val="0C3F2901"/>
    <w:rsid w:val="0D1050B7"/>
    <w:rsid w:val="0EA518A7"/>
    <w:rsid w:val="0EB14477"/>
    <w:rsid w:val="0EB94844"/>
    <w:rsid w:val="0ED226B7"/>
    <w:rsid w:val="0EF66B1F"/>
    <w:rsid w:val="0F074F62"/>
    <w:rsid w:val="0F15071A"/>
    <w:rsid w:val="0F1C1BEA"/>
    <w:rsid w:val="0F7675C0"/>
    <w:rsid w:val="0FCB188A"/>
    <w:rsid w:val="100E123C"/>
    <w:rsid w:val="10B0647B"/>
    <w:rsid w:val="114A14E2"/>
    <w:rsid w:val="1200430B"/>
    <w:rsid w:val="12BD14AF"/>
    <w:rsid w:val="131F31C3"/>
    <w:rsid w:val="133A14D7"/>
    <w:rsid w:val="13FD7556"/>
    <w:rsid w:val="143D79D3"/>
    <w:rsid w:val="14C23825"/>
    <w:rsid w:val="159618F2"/>
    <w:rsid w:val="159A01D2"/>
    <w:rsid w:val="15CA057D"/>
    <w:rsid w:val="15E148D2"/>
    <w:rsid w:val="16245E8E"/>
    <w:rsid w:val="162C3886"/>
    <w:rsid w:val="16A00957"/>
    <w:rsid w:val="170D78B9"/>
    <w:rsid w:val="175B7768"/>
    <w:rsid w:val="17EA1241"/>
    <w:rsid w:val="182363F8"/>
    <w:rsid w:val="1848025B"/>
    <w:rsid w:val="184936CB"/>
    <w:rsid w:val="187D4454"/>
    <w:rsid w:val="197931B8"/>
    <w:rsid w:val="19A44CCC"/>
    <w:rsid w:val="1AD7594C"/>
    <w:rsid w:val="1B1C623D"/>
    <w:rsid w:val="1B754A77"/>
    <w:rsid w:val="1B75766B"/>
    <w:rsid w:val="1BA557BB"/>
    <w:rsid w:val="1BCC16FF"/>
    <w:rsid w:val="1C2C2098"/>
    <w:rsid w:val="1C31123A"/>
    <w:rsid w:val="1D0E5DAB"/>
    <w:rsid w:val="1DAF6F9C"/>
    <w:rsid w:val="1DE12963"/>
    <w:rsid w:val="1E4320E5"/>
    <w:rsid w:val="1E54321C"/>
    <w:rsid w:val="1EB52AAB"/>
    <w:rsid w:val="1F945FC7"/>
    <w:rsid w:val="20103E9D"/>
    <w:rsid w:val="206A088A"/>
    <w:rsid w:val="20D3657B"/>
    <w:rsid w:val="20F850EB"/>
    <w:rsid w:val="228A00CE"/>
    <w:rsid w:val="23452B08"/>
    <w:rsid w:val="23947B76"/>
    <w:rsid w:val="241645CB"/>
    <w:rsid w:val="241D3AF3"/>
    <w:rsid w:val="24523671"/>
    <w:rsid w:val="254A15F4"/>
    <w:rsid w:val="2588692E"/>
    <w:rsid w:val="264375D8"/>
    <w:rsid w:val="2741478C"/>
    <w:rsid w:val="27F914F0"/>
    <w:rsid w:val="281C4CAB"/>
    <w:rsid w:val="2877098B"/>
    <w:rsid w:val="28F51B18"/>
    <w:rsid w:val="2927519D"/>
    <w:rsid w:val="2A1C2029"/>
    <w:rsid w:val="2AD3763B"/>
    <w:rsid w:val="2B487969"/>
    <w:rsid w:val="2B542502"/>
    <w:rsid w:val="2BE4393A"/>
    <w:rsid w:val="2C793CDC"/>
    <w:rsid w:val="2C806D8B"/>
    <w:rsid w:val="2C8D29BC"/>
    <w:rsid w:val="2D046974"/>
    <w:rsid w:val="2DDD4851"/>
    <w:rsid w:val="2E5035E4"/>
    <w:rsid w:val="2E5C32E1"/>
    <w:rsid w:val="2F4A4687"/>
    <w:rsid w:val="2F4E21D9"/>
    <w:rsid w:val="2F757FD8"/>
    <w:rsid w:val="2F9737EE"/>
    <w:rsid w:val="2F9F0BC4"/>
    <w:rsid w:val="2FA80319"/>
    <w:rsid w:val="3047712C"/>
    <w:rsid w:val="3189044E"/>
    <w:rsid w:val="31963749"/>
    <w:rsid w:val="322B163F"/>
    <w:rsid w:val="32F55CF3"/>
    <w:rsid w:val="333D3E3E"/>
    <w:rsid w:val="344908C8"/>
    <w:rsid w:val="34506FF2"/>
    <w:rsid w:val="345D731C"/>
    <w:rsid w:val="34A17D38"/>
    <w:rsid w:val="3613013A"/>
    <w:rsid w:val="364B3CEC"/>
    <w:rsid w:val="375370FA"/>
    <w:rsid w:val="379D01CC"/>
    <w:rsid w:val="387C714D"/>
    <w:rsid w:val="38CC14AC"/>
    <w:rsid w:val="390A1100"/>
    <w:rsid w:val="394B64B7"/>
    <w:rsid w:val="397B3D2D"/>
    <w:rsid w:val="39C36B5F"/>
    <w:rsid w:val="3A7F73C5"/>
    <w:rsid w:val="3A9E021A"/>
    <w:rsid w:val="3B31611A"/>
    <w:rsid w:val="3B986961"/>
    <w:rsid w:val="3BD058AB"/>
    <w:rsid w:val="3C014C4F"/>
    <w:rsid w:val="3C17020D"/>
    <w:rsid w:val="3C99115D"/>
    <w:rsid w:val="3CC15A71"/>
    <w:rsid w:val="3D144F49"/>
    <w:rsid w:val="3D1E778C"/>
    <w:rsid w:val="3D7B404C"/>
    <w:rsid w:val="3E3809AD"/>
    <w:rsid w:val="3E831516"/>
    <w:rsid w:val="3E9E3FA3"/>
    <w:rsid w:val="3F337C7B"/>
    <w:rsid w:val="3FC5147E"/>
    <w:rsid w:val="3FCE26E4"/>
    <w:rsid w:val="3FE404AA"/>
    <w:rsid w:val="40A63337"/>
    <w:rsid w:val="40D156B8"/>
    <w:rsid w:val="40D3214D"/>
    <w:rsid w:val="40E36B07"/>
    <w:rsid w:val="41415EDE"/>
    <w:rsid w:val="426C2EB5"/>
    <w:rsid w:val="43BD6985"/>
    <w:rsid w:val="43DB5B74"/>
    <w:rsid w:val="445E3CC7"/>
    <w:rsid w:val="45905564"/>
    <w:rsid w:val="45C73E49"/>
    <w:rsid w:val="45EB17D2"/>
    <w:rsid w:val="462B35F0"/>
    <w:rsid w:val="46B63D54"/>
    <w:rsid w:val="46B70579"/>
    <w:rsid w:val="46BD28E5"/>
    <w:rsid w:val="47982BDD"/>
    <w:rsid w:val="48321DAA"/>
    <w:rsid w:val="483F699E"/>
    <w:rsid w:val="48E21409"/>
    <w:rsid w:val="497A5ADD"/>
    <w:rsid w:val="49845F74"/>
    <w:rsid w:val="49CB4FD7"/>
    <w:rsid w:val="49F85EC1"/>
    <w:rsid w:val="4A2F1D6E"/>
    <w:rsid w:val="4A4D006E"/>
    <w:rsid w:val="4A756B4A"/>
    <w:rsid w:val="4AB56303"/>
    <w:rsid w:val="4BAA6497"/>
    <w:rsid w:val="4BC82AF9"/>
    <w:rsid w:val="4BCE1B27"/>
    <w:rsid w:val="4C1A3ACA"/>
    <w:rsid w:val="4CFF196D"/>
    <w:rsid w:val="4D735339"/>
    <w:rsid w:val="4D7D03D4"/>
    <w:rsid w:val="4E5776CE"/>
    <w:rsid w:val="4F2F48FC"/>
    <w:rsid w:val="4FBE45F8"/>
    <w:rsid w:val="50F37175"/>
    <w:rsid w:val="51A065B8"/>
    <w:rsid w:val="51A56CAC"/>
    <w:rsid w:val="52E05981"/>
    <w:rsid w:val="52EE2902"/>
    <w:rsid w:val="53202201"/>
    <w:rsid w:val="54262C86"/>
    <w:rsid w:val="549848ED"/>
    <w:rsid w:val="5515488D"/>
    <w:rsid w:val="55533E8D"/>
    <w:rsid w:val="557A161B"/>
    <w:rsid w:val="55DA74E1"/>
    <w:rsid w:val="55E01037"/>
    <w:rsid w:val="567F1B75"/>
    <w:rsid w:val="578A4C25"/>
    <w:rsid w:val="57D1182B"/>
    <w:rsid w:val="585946F4"/>
    <w:rsid w:val="59CE2742"/>
    <w:rsid w:val="59E16437"/>
    <w:rsid w:val="5C5C6273"/>
    <w:rsid w:val="5D24396F"/>
    <w:rsid w:val="5DE82B5E"/>
    <w:rsid w:val="5EBD089D"/>
    <w:rsid w:val="60444431"/>
    <w:rsid w:val="608318D0"/>
    <w:rsid w:val="614C75B4"/>
    <w:rsid w:val="625922D5"/>
    <w:rsid w:val="62757245"/>
    <w:rsid w:val="629C62E5"/>
    <w:rsid w:val="62E24ABE"/>
    <w:rsid w:val="634A03F2"/>
    <w:rsid w:val="634D4AE6"/>
    <w:rsid w:val="64A94EA1"/>
    <w:rsid w:val="64B21D93"/>
    <w:rsid w:val="64F831A7"/>
    <w:rsid w:val="65380122"/>
    <w:rsid w:val="654C3BDA"/>
    <w:rsid w:val="659C2FA9"/>
    <w:rsid w:val="661619BF"/>
    <w:rsid w:val="66B33BC6"/>
    <w:rsid w:val="675C2507"/>
    <w:rsid w:val="6796684F"/>
    <w:rsid w:val="67FD5E9F"/>
    <w:rsid w:val="688E6261"/>
    <w:rsid w:val="68C24E3B"/>
    <w:rsid w:val="68D01EEC"/>
    <w:rsid w:val="690B1A36"/>
    <w:rsid w:val="69EE5E20"/>
    <w:rsid w:val="6A15242C"/>
    <w:rsid w:val="6A2F1F9D"/>
    <w:rsid w:val="6AA01E4A"/>
    <w:rsid w:val="6AE20EC5"/>
    <w:rsid w:val="6BF31201"/>
    <w:rsid w:val="6C1F2756"/>
    <w:rsid w:val="6C7C6DA6"/>
    <w:rsid w:val="6CDB1A0C"/>
    <w:rsid w:val="6D32224A"/>
    <w:rsid w:val="6D516669"/>
    <w:rsid w:val="6D825577"/>
    <w:rsid w:val="6DB85207"/>
    <w:rsid w:val="6E140E5C"/>
    <w:rsid w:val="6E4614E6"/>
    <w:rsid w:val="6E4F5826"/>
    <w:rsid w:val="6E8301FA"/>
    <w:rsid w:val="6EF93C59"/>
    <w:rsid w:val="6F35522F"/>
    <w:rsid w:val="6F500841"/>
    <w:rsid w:val="6F5108E3"/>
    <w:rsid w:val="6F8B31D5"/>
    <w:rsid w:val="703469E0"/>
    <w:rsid w:val="706E19F1"/>
    <w:rsid w:val="709E1FAD"/>
    <w:rsid w:val="716100C7"/>
    <w:rsid w:val="718D41CA"/>
    <w:rsid w:val="71F91A73"/>
    <w:rsid w:val="724B50F2"/>
    <w:rsid w:val="728916B1"/>
    <w:rsid w:val="728B1B77"/>
    <w:rsid w:val="732414E7"/>
    <w:rsid w:val="73314F2B"/>
    <w:rsid w:val="73D56032"/>
    <w:rsid w:val="73EA1E5C"/>
    <w:rsid w:val="743F03B3"/>
    <w:rsid w:val="745310C8"/>
    <w:rsid w:val="74612225"/>
    <w:rsid w:val="74E76A09"/>
    <w:rsid w:val="75627034"/>
    <w:rsid w:val="75780913"/>
    <w:rsid w:val="75F44922"/>
    <w:rsid w:val="763273D0"/>
    <w:rsid w:val="767B0EC7"/>
    <w:rsid w:val="76A44D60"/>
    <w:rsid w:val="76C30AC3"/>
    <w:rsid w:val="76C86DF1"/>
    <w:rsid w:val="770F57F3"/>
    <w:rsid w:val="77177FB7"/>
    <w:rsid w:val="7722790D"/>
    <w:rsid w:val="77893A03"/>
    <w:rsid w:val="781654D4"/>
    <w:rsid w:val="78A32C37"/>
    <w:rsid w:val="78C82ED4"/>
    <w:rsid w:val="79475A82"/>
    <w:rsid w:val="7964451B"/>
    <w:rsid w:val="79C80653"/>
    <w:rsid w:val="7A567300"/>
    <w:rsid w:val="7A7B1451"/>
    <w:rsid w:val="7AE83FD2"/>
    <w:rsid w:val="7AF82FE3"/>
    <w:rsid w:val="7B423657"/>
    <w:rsid w:val="7C7F2CB0"/>
    <w:rsid w:val="7C995419"/>
    <w:rsid w:val="7D3B6453"/>
    <w:rsid w:val="7D99550D"/>
    <w:rsid w:val="7E0F4B2A"/>
    <w:rsid w:val="7E8D327A"/>
    <w:rsid w:val="7EA9202D"/>
    <w:rsid w:val="7EC207B7"/>
    <w:rsid w:val="7F022CD8"/>
    <w:rsid w:val="7F2B117B"/>
    <w:rsid w:val="7F2C2CF6"/>
    <w:rsid w:val="7FAB485F"/>
    <w:rsid w:val="7FB35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2021-03-04T01:02:00Z</cp:lastPrinted>
  <dcterms:modified xsi:type="dcterms:W3CDTF">2021-04-14T03:00:05Z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038BA5762178411EA85558F79CE3D054</vt:lpwstr>
  </property>
  <property fmtid="{D5CDD505-2E9C-101B-9397-08002B2CF9AE}" pid="4" name="KSOSaveFontToCloudKey">
    <vt:lpwstr>500924187_cloud</vt:lpwstr>
  </property>
</Properties>
</file>