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cstheme="minorBidi"/>
          <w:b/>
          <w:i w:val="0"/>
          <w:color w:val="auto"/>
          <w:sz w:val="44"/>
          <w:szCs w:val="44"/>
          <w:highlight w:val="none"/>
        </w:rPr>
      </w:pPr>
      <w:r>
        <w:rPr>
          <w:rFonts w:hint="eastAsia" w:ascii="黑体" w:hAnsi="宋体" w:eastAsia="黑体"/>
          <w:b/>
          <w:color w:val="auto"/>
          <w:sz w:val="44"/>
          <w:szCs w:val="44"/>
          <w:lang w:val="en-US" w:eastAsia="zh-CN"/>
        </w:rPr>
        <w:t>南充市滨江北路互通及石油东西路改造工程（二期）防护桩及土钉防护工程</w:t>
      </w:r>
      <w:r>
        <w:rPr>
          <w:rFonts w:hint="eastAsia" w:ascii="黑体" w:hAnsi="宋体" w:eastAsia="黑体"/>
          <w:b/>
          <w:color w:val="auto"/>
          <w:sz w:val="44"/>
          <w:szCs w:val="44"/>
          <w:highlight w:val="none"/>
          <w:lang w:eastAsia="zh-CN"/>
        </w:rPr>
        <w:t>劳务分包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2021-02-1011</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sz w:val="28"/>
          <w:szCs w:val="22"/>
          <w:highlight w:val="none"/>
          <w:lang w:val="en-US" w:eastAsia="zh-CN"/>
        </w:rPr>
        <w:t>:</w:t>
      </w:r>
      <w:r>
        <w:rPr>
          <w:rFonts w:hint="eastAsia" w:ascii="宋体" w:hAnsi="宋体" w:eastAsia="宋体" w:cs="宋体"/>
          <w:color w:val="auto"/>
          <w:sz w:val="28"/>
          <w:szCs w:val="22"/>
          <w:highlight w:val="none"/>
          <w:u w:val="single"/>
          <w:lang w:eastAsia="zh-CN"/>
        </w:rPr>
        <w:t>南充市滨江北路互通及石油东西路改造工程（二期）防护桩及土钉防护工程劳务分包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u w:val="single"/>
          <w:lang w:val="en-US" w:eastAsia="zh-CN"/>
        </w:rPr>
        <w:t>2021-02-1011</w:t>
      </w:r>
      <w:r>
        <w:rPr>
          <w:rFonts w:hint="eastAsia" w:ascii="宋体" w:hAnsi="宋体" w:eastAsia="宋体" w:cs="宋体"/>
          <w:bCs/>
          <w:sz w:val="28"/>
          <w:szCs w:val="22"/>
          <w:highlight w:val="none"/>
          <w:u w:val="single"/>
          <w:lang w:val="en-US" w:eastAsia="zh-CN"/>
        </w:rPr>
        <w:t xml:space="preserve"> </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 xml:space="preserve">南充市顺庆区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color w:val="auto"/>
          <w:sz w:val="28"/>
          <w:szCs w:val="22"/>
          <w:highlight w:val="none"/>
          <w:u w:val="single"/>
        </w:rPr>
      </w:pPr>
      <w:r>
        <w:rPr>
          <w:rFonts w:hint="eastAsia" w:ascii="宋体" w:hAnsi="宋体" w:eastAsia="宋体" w:cs="宋体"/>
          <w:bCs/>
          <w:sz w:val="28"/>
          <w:szCs w:val="22"/>
          <w:highlight w:val="none"/>
          <w:u w:val="single"/>
          <w:lang w:eastAsia="zh-CN"/>
        </w:rPr>
        <w:t>投标人资质要求：</w:t>
      </w:r>
      <w:r>
        <w:rPr>
          <w:rFonts w:hint="eastAsia" w:ascii="宋体" w:hAnsi="宋体" w:eastAsia="宋体" w:cs="宋体"/>
          <w:bCs/>
          <w:color w:val="auto"/>
          <w:sz w:val="28"/>
          <w:szCs w:val="22"/>
          <w:highlight w:val="none"/>
          <w:u w:val="single"/>
          <w:lang w:val="en-US" w:eastAsia="zh-CN"/>
        </w:rPr>
        <w:t>必须是重庆对外建设（集团）有限公司合格供方库内单位，且无失信记录；</w:t>
      </w:r>
      <w:r>
        <w:rPr>
          <w:rFonts w:hint="eastAsia" w:ascii="宋体" w:hAnsi="宋体" w:eastAsia="宋体" w:cs="宋体"/>
          <w:bCs/>
          <w:sz w:val="28"/>
          <w:szCs w:val="22"/>
          <w:highlight w:val="none"/>
          <w:u w:val="single"/>
          <w:lang w:val="en-US" w:eastAsia="zh-CN"/>
        </w:rPr>
        <w:t>具有</w:t>
      </w:r>
      <w:r>
        <w:rPr>
          <w:rFonts w:hint="eastAsia" w:ascii="宋体" w:hAnsi="宋体" w:eastAsia="宋体" w:cs="宋体"/>
          <w:kern w:val="0"/>
          <w:sz w:val="28"/>
          <w:szCs w:val="28"/>
          <w:highlight w:val="none"/>
          <w:u w:val="single"/>
        </w:rPr>
        <w:t>建设行政主管部门</w:t>
      </w:r>
      <w:r>
        <w:rPr>
          <w:rFonts w:hint="eastAsia" w:ascii="宋体" w:hAnsi="宋体" w:eastAsia="宋体" w:cs="宋体"/>
          <w:bCs/>
          <w:sz w:val="28"/>
          <w:szCs w:val="22"/>
          <w:highlight w:val="none"/>
          <w:u w:val="single"/>
          <w:lang w:val="en-US" w:eastAsia="zh-CN"/>
        </w:rPr>
        <w:t>批准的劳务分包资质；</w:t>
      </w:r>
      <w:r>
        <w:rPr>
          <w:rFonts w:hint="eastAsia" w:ascii="宋体" w:hAnsi="宋体" w:eastAsia="宋体" w:cs="宋体"/>
          <w:bCs/>
          <w:color w:val="auto"/>
          <w:sz w:val="28"/>
          <w:szCs w:val="22"/>
          <w:highlight w:val="none"/>
          <w:u w:val="single"/>
          <w:lang w:eastAsia="zh-CN"/>
        </w:rPr>
        <w:t>单位负责人为同一人或者存在控股、管理关系的不同单位不能同时参与投标</w:t>
      </w:r>
      <w:r>
        <w:rPr>
          <w:rFonts w:hint="eastAsia" w:ascii="宋体" w:hAnsi="宋体" w:eastAsia="宋体" w:cs="宋体"/>
          <w:bCs/>
          <w:color w:val="auto"/>
          <w:sz w:val="28"/>
          <w:szCs w:val="22"/>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5</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18</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5</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18</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3"/>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南充市滨江北路互通及石油东西路改造工程（二期）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bCs w:val="0"/>
                <w:color w:val="auto"/>
                <w:sz w:val="24"/>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2"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color w:val="auto"/>
                <w:sz w:val="24"/>
                <w:highlight w:val="none"/>
              </w:rPr>
              <w:t>本工程位于南充市顺庆区中北部，本次设计范围包括：东西向---石化路以西至双女石路与将军路相接处，全长约1328.381m。南北向---安凤路与滨江中路一段交叉口至滨江北路与十二中路交叉口，全长约789.088m。石油西路、石油东路、双女石路标准路幅宽32.5m；跨线桥滨江北路段标准路幅宽65m，跨线桥滨江中路段标准路幅宽49m，其中桥梁17m，双向四车道；下穿隧道段标准路幅宽43m，其中隧道及框架17m，双向四车道。主线设计速度60km/h，辅道40km/h。</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color w:val="auto"/>
                <w:sz w:val="24"/>
                <w:highlight w:val="none"/>
                <w:shd w:val="clear"/>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55"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napToGrid w:val="0"/>
              <w:spacing w:beforeLines="0" w:afterLines="0" w:line="340" w:lineRule="exact"/>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必须是重庆对外建设（集团）有限公司合格供方库内单位，且无失信记录。</w:t>
            </w:r>
          </w:p>
          <w:p>
            <w:pPr>
              <w:snapToGrid w:val="0"/>
              <w:spacing w:beforeLines="0" w:afterLines="0" w:line="340" w:lineRule="exact"/>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（2）具有</w:t>
            </w:r>
            <w:r>
              <w:rPr>
                <w:rFonts w:hint="eastAsia" w:asciiTheme="minorEastAsia" w:hAnsiTheme="minorEastAsia" w:eastAsiaTheme="minorEastAsia" w:cstheme="minorBidi"/>
                <w:color w:val="auto"/>
                <w:kern w:val="2"/>
                <w:sz w:val="24"/>
                <w:szCs w:val="24"/>
                <w:highlight w:val="none"/>
              </w:rPr>
              <w:t>建设行政主管部门</w:t>
            </w:r>
            <w:r>
              <w:rPr>
                <w:rFonts w:hint="eastAsia" w:asciiTheme="minorEastAsia" w:hAnsiTheme="minorEastAsia"/>
                <w:color w:val="auto"/>
                <w:sz w:val="24"/>
                <w:szCs w:val="24"/>
                <w:highlight w:val="none"/>
                <w:lang w:val="en-US" w:eastAsia="zh-CN"/>
              </w:rPr>
              <w:t>批准的劳务分包资质；</w:t>
            </w:r>
          </w:p>
          <w:p>
            <w:pPr>
              <w:snapToGrid w:val="0"/>
              <w:spacing w:beforeLines="0" w:afterLines="0" w:line="340" w:lineRule="exact"/>
              <w:jc w:val="left"/>
              <w:rPr>
                <w:rFonts w:ascii="宋体" w:hAnsi="宋体" w:eastAsia="宋体" w:cs="宋体"/>
                <w:sz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stheme="minorBidi"/>
                <w:bCs w:val="0"/>
                <w:color w:val="auto"/>
                <w:sz w:val="24"/>
                <w:szCs w:val="24"/>
                <w:highlight w:val="none"/>
                <w:u w:val="none"/>
                <w:lang w:eastAsia="zh-CN"/>
              </w:rPr>
              <w:t>单位负责人为同一人或者存在控股、管理关系的不同单位不能同时参与投标</w:t>
            </w:r>
            <w:r>
              <w:rPr>
                <w:rFonts w:hint="eastAsia" w:asciiTheme="minorEastAsia" w:hAnsiTheme="minorEastAsia" w:cstheme="minorBidi"/>
                <w:bCs w:val="0"/>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shd w:val="clear" w:fill="auto"/>
                <w:lang w:val="en-US" w:eastAsia="zh-CN"/>
              </w:rPr>
              <w:t>防护桩及土钉防护工程</w:t>
            </w:r>
            <w:r>
              <w:rPr>
                <w:rFonts w:hint="eastAsia" w:asciiTheme="minorEastAsia" w:hAnsiTheme="minorEastAsia"/>
                <w:color w:val="auto"/>
                <w:sz w:val="24"/>
                <w:szCs w:val="24"/>
                <w:highlight w:val="none"/>
                <w:lang w:val="en-US" w:eastAsia="zh-CN"/>
              </w:rPr>
              <w:t>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Theme="minorEastAsia" w:hAnsiTheme="minorEastAsia"/>
                <w:color w:val="auto"/>
                <w:sz w:val="24"/>
                <w:szCs w:val="24"/>
                <w:highlight w:val="none"/>
                <w:lang w:val="en-US" w:eastAsia="zh-CN"/>
              </w:rPr>
              <w:t>本工程乙方必须按总包合同有关质量约定，并按照国家和地方政府颁布现行的《建筑安装工程施工及验收规范》、《建筑安装工程质量评定标准》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Theme="minorEastAsia" w:hAnsiTheme="minorEastAsia"/>
                <w:color w:val="auto"/>
                <w:sz w:val="24"/>
                <w:szCs w:val="24"/>
                <w:highlight w:val="none"/>
                <w:lang w:val="en-US" w:eastAsia="zh-CN"/>
              </w:rPr>
              <w:t>暂定</w:t>
            </w:r>
            <w:r>
              <w:rPr>
                <w:rFonts w:hint="eastAsia" w:asciiTheme="minorEastAsia" w:hAnsiTheme="minorEastAsia"/>
                <w:color w:val="auto"/>
                <w:sz w:val="24"/>
                <w:szCs w:val="24"/>
                <w:highlight w:val="none"/>
                <w:shd w:val="clear" w:fill="auto"/>
                <w:lang w:val="en-US" w:eastAsia="zh-CN"/>
              </w:rPr>
              <w:t>8</w:t>
            </w:r>
            <w:r>
              <w:rPr>
                <w:rFonts w:hint="eastAsia" w:asciiTheme="minorEastAsia" w:hAnsiTheme="minorEastAsia"/>
                <w:color w:val="auto"/>
                <w:sz w:val="24"/>
                <w:szCs w:val="24"/>
                <w:highlight w:val="none"/>
                <w:lang w:val="en-US" w:eastAsia="zh-CN"/>
              </w:rPr>
              <w:t>个月，具体以总包单位编排节点工期时间为准。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暂</w:t>
            </w:r>
            <w:r>
              <w:rPr>
                <w:rFonts w:hint="eastAsia" w:ascii="宋体" w:hAnsi="宋体" w:eastAsia="宋体" w:cs="宋体"/>
                <w:sz w:val="24"/>
                <w:highlight w:val="none"/>
                <w:shd w:val="clear"/>
                <w:lang w:val="en-US" w:eastAsia="zh-CN"/>
              </w:rPr>
              <w:t>定</w:t>
            </w:r>
            <w:r>
              <w:rPr>
                <w:rFonts w:hint="eastAsia" w:ascii="宋体" w:hAnsi="宋体" w:eastAsia="宋体" w:cs="宋体"/>
                <w:sz w:val="24"/>
                <w:highlight w:val="none"/>
                <w:shd w:val="clear" w:fill="auto"/>
                <w:lang w:val="en-US" w:eastAsia="zh-CN"/>
              </w:rPr>
              <w:t>4479938.38</w:t>
            </w:r>
            <w:r>
              <w:rPr>
                <w:rFonts w:hint="eastAsia" w:ascii="宋体" w:hAnsi="宋体" w:eastAsia="宋体" w:cs="宋体"/>
                <w:sz w:val="24"/>
                <w:highlight w:val="none"/>
                <w:lang w:val="en-US" w:eastAsia="zh-CN"/>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1"/>
                <w:numId w:val="0"/>
              </w:numPr>
              <w:snapToGrid/>
              <w:spacing w:line="340" w:lineRule="exact"/>
              <w:ind w:left="13" w:leftChars="6" w:firstLine="0"/>
              <w:jc w:val="left"/>
              <w:rPr>
                <w:rFonts w:ascii="宋体" w:hAnsi="宋体" w:eastAsia="宋体" w:cs="宋体"/>
                <w:sz w:val="24"/>
                <w:highlight w:val="none"/>
              </w:rPr>
            </w:pPr>
            <w:r>
              <w:rPr>
                <w:rFonts w:hint="eastAsia" w:ascii="宋体" w:hAnsi="宋体" w:eastAsia="宋体" w:cs="宋体"/>
                <w:color w:val="auto"/>
                <w:sz w:val="24"/>
              </w:rPr>
              <w:t>乙方向甲方缴纳1%的履约保证金；履约保证金退还前提条件：</w:t>
            </w:r>
            <w:r>
              <w:rPr>
                <w:rFonts w:hint="eastAsia" w:ascii="宋体" w:hAnsi="宋体" w:eastAsia="宋体" w:cs="宋体"/>
                <w:color w:val="auto"/>
                <w:sz w:val="24"/>
                <w:szCs w:val="24"/>
              </w:rPr>
              <w:t>主体工程竣工验收合格</w:t>
            </w:r>
            <w:r>
              <w:rPr>
                <w:rFonts w:hint="eastAsia" w:ascii="宋体" w:hAnsi="宋体" w:eastAsia="宋体" w:cs="宋体"/>
                <w:color w:val="auto"/>
                <w:sz w:val="24"/>
                <w:szCs w:val="24"/>
                <w:u w:val="none"/>
              </w:rPr>
              <w:t>（</w:t>
            </w:r>
            <w:r>
              <w:rPr>
                <w:rFonts w:hint="eastAsia" w:ascii="宋体" w:hAnsi="宋体" w:eastAsia="宋体" w:cs="宋体"/>
                <w:color w:val="auto"/>
                <w:sz w:val="24"/>
                <w:szCs w:val="24"/>
                <w:highlight w:val="none"/>
                <w:lang w:val="en-US" w:eastAsia="zh-CN"/>
              </w:rPr>
              <w:t>以建筑工程竣工验收备案表的记载为准</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且本合同项下劳务分包结算完成，经甲方</w:t>
            </w:r>
            <w:r>
              <w:rPr>
                <w:rFonts w:hint="eastAsia" w:ascii="宋体" w:hAnsi="宋体" w:eastAsia="宋体" w:cs="宋体"/>
                <w:color w:val="auto"/>
                <w:sz w:val="24"/>
                <w:szCs w:val="24"/>
                <w:lang w:eastAsia="zh-CN"/>
              </w:rPr>
              <w:t>审签</w:t>
            </w:r>
            <w:r>
              <w:rPr>
                <w:rFonts w:hint="eastAsia" w:ascii="宋体" w:hAnsi="宋体" w:eastAsia="宋体" w:cs="宋体"/>
                <w:color w:val="auto"/>
                <w:sz w:val="24"/>
                <w:szCs w:val="24"/>
              </w:rPr>
              <w:t>确认</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u w:val="none"/>
                <w:lang w:val="en-US" w:eastAsia="zh-CN"/>
              </w:rPr>
              <w:t>60</w:t>
            </w:r>
            <w:r>
              <w:rPr>
                <w:rFonts w:hint="eastAsia" w:ascii="宋体" w:hAnsi="宋体" w:eastAsia="宋体" w:cs="宋体"/>
                <w:color w:val="auto"/>
                <w:sz w:val="24"/>
                <w:szCs w:val="24"/>
              </w:rPr>
              <w:t>日内，甲方不计息退还乙方履约保证金（扣除各种违约处罚金）</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Theme="minorEastAsia" w:hAnsiTheme="minorEastAsia" w:cstheme="minorEastAsia"/>
                <w:color w:val="000000" w:themeColor="text1"/>
                <w:kern w:val="0"/>
                <w:sz w:val="24"/>
                <w:highlight w:val="none"/>
                <w:lang w:eastAsia="zh-CN"/>
                <w14:textFill>
                  <w14:solidFill>
                    <w14:schemeClr w14:val="tx1"/>
                  </w14:solidFill>
                </w14:textFill>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hint="eastAsia" w:asciiTheme="minorEastAsia" w:hAnsiTheme="minorEastAsia"/>
                <w:color w:val="auto"/>
                <w:sz w:val="24"/>
                <w:szCs w:val="24"/>
                <w:highlight w:val="none"/>
                <w:lang w:val="en-US" w:eastAsia="zh-CN"/>
              </w:rPr>
              <w:t>:</w:t>
            </w:r>
            <w:r>
              <w:rPr>
                <w:rFonts w:hint="eastAsia" w:asciiTheme="minorEastAsia" w:hAnsiTheme="minorEastAsia"/>
                <w:color w:val="auto"/>
                <w:sz w:val="24"/>
                <w:szCs w:val="24"/>
                <w:highlight w:val="none"/>
                <w:shd w:val="clear" w:fill="auto"/>
                <w:lang w:val="en-US" w:eastAsia="zh-CN"/>
              </w:rPr>
              <w:t>防护桩及土钉防护工程</w:t>
            </w:r>
            <w:r>
              <w:rPr>
                <w:rFonts w:hint="eastAsia" w:asciiTheme="minorEastAsia" w:hAnsiTheme="minorEastAsia"/>
                <w:color w:val="auto"/>
                <w:sz w:val="24"/>
                <w:szCs w:val="24"/>
                <w:highlight w:val="none"/>
                <w:lang w:val="en-US" w:eastAsia="zh-CN"/>
              </w:rPr>
              <w:t>劳务分包</w:t>
            </w:r>
            <w:r>
              <w:rPr>
                <w:rFonts w:hint="eastAsia" w:asciiTheme="minorEastAsia" w:hAnsiTheme="minorEastAsia" w:cstheme="minorEastAsia"/>
                <w:color w:val="000000" w:themeColor="text1"/>
                <w:kern w:val="0"/>
                <w:sz w:val="24"/>
                <w:highlight w:val="none"/>
                <w:lang w:eastAsia="zh-CN"/>
                <w14:textFill>
                  <w14:solidFill>
                    <w14:schemeClr w14:val="tx1"/>
                  </w14:solidFill>
                </w14:textFill>
              </w:rPr>
              <w:t>；</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rPr>
              <w:t>投标报价不得高于采购单位公布的最高限价且保留两位小数。</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、综合单价均已包括但不限于质量、工期、安全文明施工组织管理措施、技术措施、抢工措施等所有措施费用和现场其他分包施工单位的配合费用；人工费、</w:t>
            </w:r>
            <w:r>
              <w:rPr>
                <w:rFonts w:hint="eastAsia" w:cs="宋体"/>
                <w:sz w:val="24"/>
                <w:szCs w:val="24"/>
                <w:highlight w:val="none"/>
                <w:lang w:eastAsia="zh-CN"/>
              </w:rPr>
              <w:t>机械费（大中型机械设备除外）</w:t>
            </w:r>
            <w:r>
              <w:rPr>
                <w:rFonts w:hint="eastAsia" w:ascii="Calibri" w:hAnsi="Calibri" w:eastAsia="宋体" w:cs="宋体"/>
                <w:sz w:val="24"/>
                <w:szCs w:val="24"/>
                <w:highlight w:val="none"/>
              </w:rPr>
              <w:t>及</w:t>
            </w:r>
            <w:r>
              <w:rPr>
                <w:rFonts w:hint="eastAsia" w:cs="宋体"/>
                <w:sz w:val="24"/>
                <w:szCs w:val="24"/>
                <w:highlight w:val="none"/>
                <w:lang w:eastAsia="zh-CN"/>
              </w:rPr>
              <w:t>辅材费</w:t>
            </w:r>
            <w:r>
              <w:rPr>
                <w:rFonts w:hint="eastAsia" w:ascii="Calibri" w:hAnsi="Calibri" w:eastAsia="宋体" w:cs="宋体"/>
                <w:sz w:val="24"/>
                <w:szCs w:val="24"/>
                <w:highlight w:val="none"/>
              </w:rPr>
              <w:t>在施工期间的涨价等市场风险费用；劳动保护的投入、劳务公司管理费、利润、税金、保险、安全风险、乙方原因的返工、窝工、罚款及其他不可预见因素的包干费用。</w:t>
            </w:r>
          </w:p>
          <w:p>
            <w:pPr>
              <w:pStyle w:val="6"/>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56" w:firstLineChars="200"/>
              <w:jc w:val="left"/>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80" w:firstLineChars="200"/>
              <w:jc w:val="left"/>
              <w:textAlignment w:val="auto"/>
              <w:outlineLvl w:val="9"/>
              <w:rPr>
                <w:sz w:val="24"/>
                <w:szCs w:val="24"/>
                <w:highlight w:val="none"/>
              </w:rPr>
            </w:pPr>
            <w:r>
              <w:rPr>
                <w:rFonts w:hint="eastAsia" w:ascii="宋体" w:hAnsi="宋体" w:eastAsia="宋体" w:cs="宋体"/>
                <w:sz w:val="24"/>
                <w:szCs w:val="24"/>
                <w:highlight w:val="none"/>
              </w:rPr>
              <w:t>税金：</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在收取工程款时应出具正式的建筑业统一发票，并按主管地税务机关及招采人要求，按时足额缴纳各种税费并提供完税证明，或执</w:t>
            </w:r>
            <w:r>
              <w:rPr>
                <w:rFonts w:hint="eastAsia" w:ascii="宋体" w:hAnsi="宋体" w:eastAsia="宋体" w:cs="宋体"/>
                <w:color w:val="auto"/>
                <w:sz w:val="24"/>
                <w:szCs w:val="24"/>
                <w:highlight w:val="none"/>
              </w:rPr>
              <w:t>行</w:t>
            </w:r>
            <w:r>
              <w:rPr>
                <w:rFonts w:hint="eastAsia" w:ascii="宋体" w:hAnsi="宋体" w:cs="宋体"/>
                <w:color w:val="auto"/>
                <w:sz w:val="24"/>
                <w:szCs w:val="24"/>
                <w:highlight w:val="none"/>
                <w:lang w:eastAsia="zh-CN"/>
              </w:rPr>
              <w:t>增值税</w:t>
            </w:r>
            <w:r>
              <w:rPr>
                <w:rFonts w:hint="eastAsia" w:ascii="宋体" w:hAnsi="宋体" w:eastAsia="宋体" w:cs="宋体"/>
                <w:sz w:val="24"/>
                <w:szCs w:val="24"/>
                <w:highlight w:val="none"/>
              </w:rPr>
              <w:t>的相关管理办法，否则招采人有权暂停支付工程款。</w:t>
            </w:r>
          </w:p>
          <w:p>
            <w:pPr>
              <w:pStyle w:val="6"/>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42"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firstLine="480" w:firstLineChars="200"/>
              <w:jc w:val="left"/>
              <w:rPr>
                <w:rFonts w:hint="eastAsia" w:ascii="宋体" w:hAnsi="宋体"/>
                <w:bCs/>
                <w:sz w:val="24"/>
                <w:highlight w:val="none"/>
                <w:lang w:val="en-US" w:eastAsia="zh-CN"/>
              </w:rPr>
            </w:pPr>
            <w:r>
              <w:rPr>
                <w:rFonts w:hint="eastAsia" w:ascii="宋体" w:hAnsi="宋体"/>
                <w:bCs/>
                <w:sz w:val="24"/>
                <w:highlight w:val="none"/>
                <w:lang w:val="en-US" w:eastAsia="zh-CN"/>
              </w:rPr>
              <w:t>1、甲方根据审核后的月进度金额，并扣除对乙方的甲供材料、甲供设备、各种违约金、代扣代缴等各项扣款后，按甲方审核的实际完成产值的80%支付进度款；</w:t>
            </w:r>
          </w:p>
          <w:p>
            <w:pPr>
              <w:snapToGrid w:val="0"/>
              <w:spacing w:line="340" w:lineRule="exact"/>
              <w:ind w:firstLine="480" w:firstLineChars="200"/>
              <w:jc w:val="left"/>
              <w:rPr>
                <w:rFonts w:hint="eastAsia" w:ascii="宋体" w:hAnsi="宋体"/>
                <w:bCs/>
                <w:sz w:val="24"/>
                <w:highlight w:val="none"/>
                <w:lang w:val="en-US" w:eastAsia="zh-CN"/>
              </w:rPr>
            </w:pPr>
            <w:r>
              <w:rPr>
                <w:rFonts w:hint="eastAsia" w:ascii="宋体" w:hAnsi="宋体"/>
                <w:bCs/>
                <w:sz w:val="24"/>
                <w:highlight w:val="none"/>
                <w:lang w:val="en-US" w:eastAsia="zh-CN"/>
              </w:rPr>
              <w:t>2、单项工程完工验收三个月内，支付至甲方审核的累计完成产值的90%。</w:t>
            </w:r>
          </w:p>
          <w:p>
            <w:pPr>
              <w:snapToGrid w:val="0"/>
              <w:spacing w:line="340" w:lineRule="exact"/>
              <w:ind w:firstLine="480" w:firstLineChars="200"/>
              <w:jc w:val="left"/>
              <w:rPr>
                <w:rFonts w:hint="eastAsia" w:ascii="宋体" w:hAnsi="宋体"/>
                <w:bCs/>
                <w:sz w:val="24"/>
                <w:highlight w:val="none"/>
                <w:lang w:val="en-US" w:eastAsia="zh-CN"/>
              </w:rPr>
            </w:pPr>
            <w:r>
              <w:rPr>
                <w:rFonts w:hint="eastAsia" w:ascii="宋体" w:hAnsi="宋体"/>
                <w:bCs/>
                <w:sz w:val="24"/>
                <w:highlight w:val="none"/>
                <w:lang w:val="en-US" w:eastAsia="zh-CN"/>
              </w:rPr>
              <w:t>3、验收合格后并办理完分包结算并经审核后，三个月后一次性无息支付至审核结算金额的97%；</w:t>
            </w:r>
          </w:p>
          <w:p>
            <w:pPr>
              <w:spacing w:line="579" w:lineRule="exact"/>
              <w:ind w:firstLine="480" w:firstLineChars="200"/>
              <w:outlineLvl w:val="9"/>
              <w:rPr>
                <w:rFonts w:hint="default" w:ascii="宋体" w:hAnsi="宋体"/>
                <w:bCs/>
                <w:sz w:val="24"/>
                <w:highlight w:val="none"/>
                <w:lang w:val="en-US" w:eastAsia="zh-CN"/>
              </w:rPr>
            </w:pPr>
            <w:r>
              <w:rPr>
                <w:rFonts w:hint="eastAsia" w:ascii="宋体" w:hAnsi="宋体"/>
                <w:bCs/>
                <w:sz w:val="24"/>
                <w:highlight w:val="none"/>
                <w:lang w:val="en-US" w:eastAsia="zh-CN"/>
              </w:rPr>
              <w:t>4、剩余3%作为缺陷质量保修金，缺陷期在该单项工程完工验收当日起算，缺陷责任期满（两年）后，若无其他争议，在完善相关手续后一次性无息支付。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color w:val="auto"/>
                <w:sz w:val="24"/>
                <w:szCs w:val="24"/>
                <w:highlight w:val="none"/>
                <w:lang w:val="en-US" w:eastAsia="zh-CN"/>
              </w:rPr>
            </w:pPr>
            <w:r>
              <w:rPr>
                <w:rFonts w:hint="eastAsia" w:ascii="Calibri" w:hAnsi="Calibri" w:eastAsia="宋体" w:cs="宋体"/>
                <w:color w:val="auto"/>
                <w:sz w:val="24"/>
                <w:szCs w:val="24"/>
                <w:highlight w:val="none"/>
              </w:rPr>
              <w:t>本工程结算以实际完成为结算依据，由现场工程师出具工程量结算单，经甲方复核并书面</w:t>
            </w:r>
            <w:r>
              <w:rPr>
                <w:rFonts w:hint="eastAsia" w:ascii="Calibri" w:hAnsi="Calibri" w:eastAsia="宋体" w:cs="宋体"/>
                <w:color w:val="auto"/>
                <w:sz w:val="24"/>
                <w:szCs w:val="24"/>
                <w:highlight w:val="none"/>
                <w:lang w:eastAsia="zh-CN"/>
              </w:rPr>
              <w:t>审签</w:t>
            </w:r>
            <w:r>
              <w:rPr>
                <w:rFonts w:hint="eastAsia" w:ascii="Calibri" w:hAnsi="Calibri" w:eastAsia="宋体" w:cs="宋体"/>
                <w:color w:val="auto"/>
                <w:sz w:val="24"/>
                <w:szCs w:val="24"/>
                <w:highlight w:val="none"/>
              </w:rPr>
              <w:t>确认后方可有效，凭该结算单办理中间结算及决算。施工时实际工程量的变动不会降低或影响合同条件的效力，也不能免除乙方按规定标准进行施工和修复缺陷的责任</w:t>
            </w:r>
            <w:r>
              <w:rPr>
                <w:rFonts w:hint="eastAsia" w:ascii="Calibri" w:hAnsi="Calibri"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eastAsia="zh-CN"/>
              </w:rPr>
              <w:t>张</w:t>
            </w:r>
            <w:r>
              <w:rPr>
                <w:rFonts w:hint="eastAsia"/>
                <w:color w:val="auto"/>
                <w:sz w:val="24"/>
                <w:szCs w:val="24"/>
                <w:highlight w:val="none"/>
              </w:rPr>
              <w:t>经理，电话：</w:t>
            </w:r>
            <w:r>
              <w:rPr>
                <w:rFonts w:hint="eastAsia"/>
                <w:color w:val="auto"/>
                <w:sz w:val="24"/>
                <w:szCs w:val="24"/>
                <w:highlight w:val="none"/>
                <w:lang w:val="en-US" w:eastAsia="zh-CN"/>
              </w:rPr>
              <w:t>17348027233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日09时00分至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bookmarkStart w:id="86" w:name="_GoBack"/>
            <w:bookmarkEnd w:id="86"/>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无</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3"/>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123786822"/>
      <w:bookmarkStart w:id="1" w:name="_Toc42923333"/>
      <w:bookmarkStart w:id="2" w:name="_Toc71877701"/>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42923335"/>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123786826"/>
      <w:bookmarkStart w:id="7" w:name="_Toc71877705"/>
      <w:bookmarkStart w:id="8" w:name="_Toc42923337"/>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42923338"/>
      <w:bookmarkStart w:id="13" w:name="_Toc71877706"/>
      <w:bookmarkStart w:id="14" w:name="_Toc123786827"/>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123786828"/>
      <w:bookmarkStart w:id="18" w:name="_Toc71877707"/>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123786830"/>
      <w:bookmarkStart w:id="21" w:name="_Toc42923340"/>
      <w:bookmarkStart w:id="22" w:name="_Toc71877708"/>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42923341"/>
      <w:bookmarkStart w:id="24" w:name="_Toc123786831"/>
      <w:bookmarkStart w:id="25" w:name="_Toc71877709"/>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123786832"/>
      <w:bookmarkStart w:id="27" w:name="_Toc42923342"/>
      <w:bookmarkStart w:id="28" w:name="_Toc71877710"/>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71877711"/>
      <w:bookmarkStart w:id="30" w:name="_Toc42923343"/>
      <w:bookmarkStart w:id="31" w:name="_Toc12378683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123786834"/>
      <w:bookmarkStart w:id="33" w:name="_Toc71877712"/>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4292334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42923346"/>
      <w:bookmarkStart w:id="39" w:name="_Toc123786836"/>
      <w:bookmarkStart w:id="40" w:name="_Toc71877714"/>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42923348"/>
      <w:bookmarkStart w:id="43" w:name="_Toc71877716"/>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71877717"/>
      <w:bookmarkStart w:id="46" w:name="_Toc123786839"/>
      <w:bookmarkStart w:id="47" w:name="_Toc4292334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123786843"/>
      <w:bookmarkStart w:id="50" w:name="_Toc4292335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42923354"/>
      <w:bookmarkStart w:id="52" w:name="_Toc123786844"/>
      <w:bookmarkStart w:id="53" w:name="_Toc71877722"/>
      <w:r>
        <w:rPr>
          <w:rFonts w:hint="eastAsia" w:ascii="宋体" w:hAnsi="宋体" w:eastAsia="宋体" w:cs="宋体"/>
          <w:b/>
          <w:sz w:val="28"/>
          <w:szCs w:val="28"/>
          <w:highlight w:val="none"/>
        </w:rPr>
        <w:t>四、投标文件的递交</w:t>
      </w:r>
      <w:bookmarkEnd w:id="51"/>
      <w:bookmarkEnd w:id="52"/>
      <w:bookmarkEnd w:id="53"/>
    </w:p>
    <w:p>
      <w:pPr>
        <w:spacing w:line="500" w:lineRule="exact"/>
        <w:rPr>
          <w:rFonts w:ascii="宋体" w:hAnsi="宋体" w:eastAsia="宋体" w:cs="宋体"/>
          <w:color w:val="auto"/>
          <w:sz w:val="28"/>
          <w:szCs w:val="28"/>
          <w:highlight w:val="none"/>
        </w:rPr>
      </w:pPr>
      <w:bookmarkStart w:id="54" w:name="_Toc42923355"/>
      <w:bookmarkStart w:id="55" w:name="_Toc123786845"/>
      <w:bookmarkStart w:id="56" w:name="_Toc71877723"/>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w:t>
      </w:r>
      <w:r>
        <w:rPr>
          <w:rFonts w:hint="eastAsia" w:ascii="宋体" w:hAnsi="宋体" w:eastAsia="宋体" w:cs="宋体"/>
          <w:sz w:val="28"/>
          <w:szCs w:val="28"/>
          <w:highlight w:val="none"/>
          <w:lang w:eastAsia="zh-CN"/>
        </w:rPr>
        <w:t>风控（合规）部</w:t>
      </w:r>
      <w:r>
        <w:rPr>
          <w:rFonts w:hint="eastAsia" w:ascii="宋体" w:hAnsi="宋体" w:eastAsia="宋体" w:cs="宋体"/>
          <w:sz w:val="28"/>
          <w:szCs w:val="28"/>
          <w:highlight w:val="none"/>
        </w:rPr>
        <w:t>、法律事务部、分公司（项目部）的相关人员参与组成，成员人数为五人及以上单数。</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widowControl/>
        <w:rPr>
          <w:rFonts w:ascii="Calibri" w:hAnsi="Calibri" w:eastAsia="宋体" w:cs="宋体"/>
          <w:b/>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bookmarkEnd w:id="54"/>
      <w:bookmarkEnd w:id="55"/>
      <w:bookmarkEnd w:id="56"/>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6"/>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为明确甲、乙双方权、责、利，根据《中华人民共和国民法典》、《中华人民共和国建筑法》等现行法律法规的规定，经甲、乙双方平等、友好协商，就本工程劳务分包相关事宜达成如下协议，以资共同遵守。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600" w:firstLineChars="200"/>
        <w:rPr>
          <w:rFonts w:hint="default" w:ascii="Times New Roman" w:hAnsi="Times New Roman" w:eastAsia="方正仿宋_GBK" w:cs="Times New Roman"/>
          <w:sz w:val="30"/>
          <w:highlight w:val="none"/>
          <w:lang w:val="en-US" w:eastAsia="zh-CN"/>
        </w:rPr>
      </w:pPr>
      <w:r>
        <w:rPr>
          <w:rFonts w:hint="default" w:ascii="Times New Roman" w:hAnsi="Times New Roman" w:eastAsia="方正仿宋_GBK" w:cs="Times New Roman"/>
          <w:sz w:val="30"/>
          <w:highlight w:val="none"/>
          <w:lang w:val="en-US" w:eastAsia="zh-CN"/>
        </w:rPr>
        <w:t>11.1.乙方应在本合同</w:t>
      </w:r>
      <w:r>
        <w:rPr>
          <w:rFonts w:hint="eastAsia" w:ascii="Times New Roman" w:hAnsi="Times New Roman" w:eastAsia="方正仿宋_GBK" w:cs="Times New Roman"/>
          <w:sz w:val="30"/>
          <w:highlight w:val="none"/>
          <w:lang w:val="en-US" w:eastAsia="zh-CN"/>
        </w:rPr>
        <w:t>签订时</w:t>
      </w:r>
      <w:r>
        <w:rPr>
          <w:rFonts w:hint="default" w:ascii="Times New Roman" w:hAnsi="Times New Roman" w:eastAsia="方正仿宋_GBK" w:cs="Times New Roman"/>
          <w:sz w:val="30"/>
          <w:highlight w:val="none"/>
          <w:lang w:val="en-US" w:eastAsia="zh-CN"/>
        </w:rPr>
        <w:t>向甲方交纳履约保证金人民币______元（不计息）</w:t>
      </w:r>
      <w:r>
        <w:rPr>
          <w:rFonts w:hint="eastAsia" w:ascii="Times New Roman" w:hAnsi="Times New Roman" w:eastAsia="方正仿宋_GBK" w:cs="Times New Roman"/>
          <w:sz w:val="30"/>
          <w:highlight w:val="none"/>
          <w:lang w:val="en-US" w:eastAsia="zh-CN"/>
        </w:rPr>
        <w:t>，履约保证金足额缴纳后本合同生效</w:t>
      </w:r>
      <w:r>
        <w:rPr>
          <w:rFonts w:hint="default" w:ascii="Times New Roman" w:hAnsi="Times New Roman" w:eastAsia="方正仿宋_GBK" w:cs="Times New Roman"/>
          <w:sz w:val="30"/>
          <w:highlight w:val="none"/>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.1.甲方根据审核后的月进度金额，并扣除对乙方的甲供材料、甲供设备、各种违约金、代扣代缴等各项扣款后，按甲方审核的实际完成产值的</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%支付进度款；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.2.单项工程完工验收三个月内，支付至甲方审核的累计完成产值的</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.3.验收合格后并办理完分包结算并经审核后，三个月后一次性无息支付至审核结算金额的</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.4.剩余</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lang w:val="en-US" w:eastAsia="zh-CN"/>
        </w:rPr>
        <w:t>%作为缺陷质量保修金，缺陷期在该单项工程完工验收当日起算，缺陷责任期满（两年）后，若无其他争议，在完善相关手续后一次性无息支付。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57"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57"/>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rPr>
          <w:rFonts w:hint="default" w:ascii="Times New Roman" w:hAnsi="Times New Roman" w:eastAsia="方正仿宋_GBK" w:cs="Times New Roman"/>
          <w:sz w:val="30"/>
          <w:highlight w:val="none"/>
          <w:lang w:val="en-US" w:eastAsia="zh-CN"/>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方正仿宋_GBK" w:cs="Times New Roman"/>
          <w:sz w:val="30"/>
          <w:highlight w:val="none"/>
          <w:lang w:val="en-US" w:eastAsia="zh-CN"/>
        </w:rPr>
        <w:t>本合同一式</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份，甲方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份乙方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份，每份均具有同等法律效力，经双方签字盖章，并在</w:t>
      </w:r>
      <w:r>
        <w:rPr>
          <w:rFonts w:hint="default" w:ascii="Times New Roman" w:hAnsi="Times New Roman" w:eastAsia="方正仿宋_GBK" w:cs="Times New Roman"/>
          <w:sz w:val="30"/>
          <w:highlight w:val="none"/>
          <w:lang w:val="en-US" w:eastAsia="zh-CN"/>
        </w:rPr>
        <w:t>乙方</w:t>
      </w:r>
      <w:r>
        <w:rPr>
          <w:rFonts w:hint="eastAsia" w:ascii="Times New Roman" w:hAnsi="Times New Roman" w:eastAsia="方正仿宋_GBK" w:cs="Times New Roman"/>
          <w:sz w:val="30"/>
          <w:highlight w:val="none"/>
          <w:lang w:val="en-US" w:eastAsia="zh-CN"/>
        </w:rPr>
        <w:t>按本合同约定向甲方足额缴纳履约保证金后生效。</w:t>
      </w:r>
    </w:p>
    <w:p>
      <w:pPr>
        <w:spacing w:line="360" w:lineRule="auto"/>
        <w:ind w:firstLine="560" w:firstLineChars="200"/>
        <w:outlineLvl w:val="0"/>
        <w:rPr>
          <w:rFonts w:hint="eastAsia" w:ascii="Times New Roman" w:hAnsi="Times New Roman" w:eastAsia="仿宋"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headerReference r:id="rId3" w:type="default"/>
          <w:footerReference r:id="rId4"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3"/>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9"/>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9"/>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6838" w:h="11906" w:orient="landscape"/>
          <w:pgMar w:top="1800" w:right="1100" w:bottom="1486" w:left="121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11"/>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11"/>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11"/>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11"/>
        <w:spacing w:before="0" w:beforeAutospacing="0" w:after="0" w:afterAutospacing="0" w:line="360" w:lineRule="auto"/>
        <w:jc w:val="center"/>
        <w:rPr>
          <w:rFonts w:hint="eastAsia" w:ascii="Times New Roman" w:hAnsi="Times New Roman" w:cs="Times New Roman"/>
          <w:color w:val="auto"/>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spacing w:line="360" w:lineRule="auto"/>
        <w:outlineLvl w:val="0"/>
        <w:rPr>
          <w:rFonts w:hint="eastAsia" w:ascii="宋体" w:hAnsi="宋体"/>
          <w:b/>
          <w:sz w:val="28"/>
          <w:szCs w:val="28"/>
          <w:highlight w:val="none"/>
        </w:rPr>
        <w:sectPr>
          <w:headerReference r:id="rId5" w:type="default"/>
          <w:footerReference r:id="rId6" w:type="default"/>
          <w:pgSz w:w="11906" w:h="16838"/>
          <w:pgMar w:top="1440" w:right="1135" w:bottom="1440" w:left="1135" w:header="851" w:footer="992" w:gutter="0"/>
          <w:cols w:space="425" w:num="1"/>
          <w:docGrid w:type="lines" w:linePitch="312" w:charSpace="0"/>
        </w:sectPr>
      </w:pPr>
      <w:r>
        <w:rPr>
          <w:rFonts w:hint="eastAsia" w:ascii="Times New Roman" w:hAnsi="Times New Roman" w:eastAsia="仿宋" w:cs="Times New Roman"/>
          <w:color w:val="auto"/>
          <w:kern w:val="0"/>
          <w:sz w:val="28"/>
          <w:szCs w:val="28"/>
          <w:lang w:val="en-US" w:eastAsia="zh-CN" w:bidi="ar-SA"/>
        </w:rPr>
        <w:t>本细则自发布之日起实施。</w:t>
      </w:r>
    </w:p>
    <w:p>
      <w:pPr>
        <w:ind w:firstLine="3935" w:firstLineChars="1400"/>
        <w:rPr>
          <w:rFonts w:ascii="宋体" w:hAnsi="宋体"/>
          <w:b/>
          <w:sz w:val="28"/>
          <w:szCs w:val="28"/>
          <w:highlight w:val="none"/>
        </w:rPr>
      </w:pPr>
      <w:r>
        <w:rPr>
          <w:rFonts w:hint="eastAsia" w:ascii="宋体" w:hAnsi="宋体"/>
          <w:b/>
          <w:sz w:val="28"/>
          <w:szCs w:val="28"/>
          <w:highlight w:val="none"/>
        </w:rPr>
        <w:t>第六部分  附表</w:t>
      </w:r>
    </w:p>
    <w:p>
      <w:pPr>
        <w:tabs>
          <w:tab w:val="left" w:pos="670"/>
          <w:tab w:val="center" w:pos="4252"/>
        </w:tabs>
        <w:spacing w:line="360" w:lineRule="auto"/>
        <w:jc w:val="center"/>
        <w:rPr>
          <w:rFonts w:hint="eastAsia" w:ascii="Calibri" w:hAnsi="Calibri" w:eastAsia="宋体" w:cs="宋体"/>
          <w:b/>
          <w:bCs/>
          <w:w w:val="90"/>
          <w:sz w:val="44"/>
          <w:szCs w:val="44"/>
          <w:highlight w:val="none"/>
          <w:lang w:val="en-US" w:eastAsia="zh-CN"/>
        </w:rPr>
      </w:pPr>
      <w:bookmarkStart w:id="58" w:name="_Toc491658679"/>
      <w:bookmarkStart w:id="59" w:name="_Toc65998015"/>
      <w:bookmarkStart w:id="60" w:name="_Toc90779595"/>
      <w:bookmarkStart w:id="61" w:name="_Toc467236768"/>
      <w:bookmarkStart w:id="62" w:name="_Toc480010736"/>
      <w:bookmarkStart w:id="63" w:name="_Toc480021081"/>
      <w:bookmarkStart w:id="64" w:name="_Toc454701405"/>
      <w:bookmarkStart w:id="65" w:name="_Toc500861026"/>
      <w:bookmarkStart w:id="66" w:name="_Toc468157564"/>
      <w:bookmarkStart w:id="67" w:name="_Toc468606057"/>
      <w:bookmarkStart w:id="68" w:name="_Toc467987851"/>
      <w:bookmarkStart w:id="69" w:name="_Toc6397150"/>
      <w:bookmarkStart w:id="70" w:name="_Toc123786880"/>
      <w:bookmarkStart w:id="71" w:name="_Toc480020285"/>
      <w:bookmarkStart w:id="72" w:name="_Toc6727971"/>
      <w:bookmarkStart w:id="73" w:name="_Toc479991610"/>
      <w:bookmarkStart w:id="74" w:name="_Toc458262638"/>
      <w:r>
        <w:rPr>
          <w:rFonts w:hint="eastAsia" w:ascii="Calibri" w:hAnsi="Calibri" w:eastAsia="宋体" w:cs="宋体"/>
          <w:b/>
          <w:bCs/>
          <w:w w:val="90"/>
          <w:sz w:val="44"/>
          <w:szCs w:val="44"/>
          <w:highlight w:val="none"/>
          <w:lang w:val="en-US" w:eastAsia="zh-CN"/>
        </w:rPr>
        <w:t>南充市滨江北路互通及石油东西路改造工程（二期）</w:t>
      </w:r>
    </w:p>
    <w:p>
      <w:pPr>
        <w:tabs>
          <w:tab w:val="left" w:pos="670"/>
          <w:tab w:val="center" w:pos="4252"/>
        </w:tabs>
        <w:spacing w:line="360" w:lineRule="auto"/>
        <w:jc w:val="center"/>
        <w:rPr>
          <w:rFonts w:ascii="宋体" w:hAnsi="宋体" w:eastAsia="宋体" w:cs="宋体"/>
          <w:i/>
          <w:sz w:val="96"/>
          <w:szCs w:val="96"/>
          <w:highlight w:val="none"/>
        </w:rPr>
      </w:pPr>
      <w:r>
        <w:rPr>
          <w:rFonts w:hint="eastAsia" w:ascii="Calibri" w:hAnsi="Calibri" w:eastAsia="宋体" w:cs="宋体"/>
          <w:b/>
          <w:bCs/>
          <w:w w:val="90"/>
          <w:sz w:val="44"/>
          <w:szCs w:val="44"/>
          <w:highlight w:val="none"/>
          <w:lang w:val="en-US" w:eastAsia="zh-CN"/>
        </w:rPr>
        <w:t>防护桩及土钉防护工程</w:t>
      </w:r>
      <w:r>
        <w:rPr>
          <w:rFonts w:hint="eastAsia" w:ascii="Calibri" w:hAnsi="Calibri" w:eastAsia="宋体" w:cs="宋体"/>
          <w:b/>
          <w:bCs/>
          <w:w w:val="90"/>
          <w:sz w:val="44"/>
          <w:szCs w:val="44"/>
          <w:highlight w:val="none"/>
          <w:lang w:eastAsia="zh-CN"/>
        </w:rPr>
        <w:t>劳务分包</w:t>
      </w:r>
    </w:p>
    <w:p>
      <w:pPr>
        <w:spacing w:line="560" w:lineRule="exact"/>
        <w:jc w:val="center"/>
        <w:rPr>
          <w:rFonts w:hint="eastAsia" w:ascii="Calibri" w:hAnsi="Calibri" w:eastAsia="宋体" w:cs="宋体"/>
          <w:b/>
          <w:bCs/>
          <w:w w:val="90"/>
          <w:sz w:val="32"/>
          <w:szCs w:val="32"/>
          <w:highlight w:val="none"/>
          <w:lang w:val="en-US" w:eastAsia="zh-CN"/>
        </w:rPr>
      </w:pPr>
    </w:p>
    <w:p>
      <w:pPr>
        <w:spacing w:line="560" w:lineRule="exact"/>
        <w:jc w:val="center"/>
        <w:rPr>
          <w:b/>
          <w:sz w:val="36"/>
          <w:szCs w:val="36"/>
          <w:highlight w:val="none"/>
        </w:rPr>
      </w:pPr>
    </w:p>
    <w:p>
      <w:pPr>
        <w:jc w:val="center"/>
        <w:rPr>
          <w:b/>
          <w:sz w:val="36"/>
          <w:szCs w:val="36"/>
          <w:highlight w:val="none"/>
        </w:rPr>
      </w:pPr>
    </w:p>
    <w:p>
      <w:pPr>
        <w:spacing w:line="560" w:lineRule="exact"/>
        <w:jc w:val="both"/>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75" w:name="_Toc123786881"/>
      <w:bookmarkStart w:id="76" w:name="_Toc65998016"/>
      <w:bookmarkStart w:id="77" w:name="_Toc6727972"/>
      <w:bookmarkStart w:id="78" w:name="_Toc90779596"/>
      <w:bookmarkStart w:id="79" w:name="_Toc500861027"/>
      <w:bookmarkStart w:id="80" w:name="_Toc26066260"/>
      <w:bookmarkStart w:id="81" w:name="_Toc491658680"/>
      <w:bookmarkStart w:id="82" w:name="_Toc6397151"/>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560" w:lineRule="exact"/>
        <w:jc w:val="left"/>
        <w:textAlignment w:val="auto"/>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color w:val="auto"/>
          <w:sz w:val="28"/>
          <w:szCs w:val="28"/>
          <w:highlight w:val="none"/>
          <w:u w:val="single"/>
          <w:lang w:val="en-US" w:eastAsia="zh-CN"/>
        </w:rPr>
        <w:t>南充市滨江北路互通及石油东西路改造工程（二期）防护桩及土钉防护工程劳务分包</w:t>
      </w:r>
      <w:r>
        <w:rPr>
          <w:rFonts w:hint="eastAsia" w:ascii="宋体" w:hAnsi="宋体"/>
          <w:color w:val="auto"/>
          <w:sz w:val="28"/>
          <w:szCs w:val="28"/>
          <w:highlight w:val="none"/>
          <w:u w:val="single"/>
          <w:lang w:val="en-US" w:eastAsia="zh-CN"/>
        </w:rPr>
        <w:t xml:space="preserve">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sz w:val="28"/>
          <w:szCs w:val="28"/>
          <w:highlight w:val="none"/>
        </w:rPr>
      </w:pPr>
      <w:r>
        <w:rPr>
          <w:rFonts w:hint="eastAsia" w:ascii="宋体" w:hAnsi="宋体"/>
          <w:sz w:val="28"/>
          <w:szCs w:val="28"/>
          <w:highlight w:val="none"/>
        </w:rPr>
        <w:t>我方同意以下内容：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highlight w:val="none"/>
        </w:rPr>
      </w:pPr>
      <w:r>
        <w:rPr>
          <w:rFonts w:hint="eastAsia" w:ascii="宋体" w:hAnsi="宋体"/>
          <w:sz w:val="28"/>
          <w:szCs w:val="28"/>
          <w:highlight w:val="none"/>
        </w:rPr>
        <w:t>投标人电话：投标人传真：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highlight w:val="none"/>
        </w:rPr>
      </w:pPr>
      <w:r>
        <w:rPr>
          <w:rFonts w:hint="eastAsia" w:ascii="宋体" w:hAnsi="宋体"/>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highlight w:val="none"/>
        </w:rPr>
      </w:pPr>
    </w:p>
    <w:bookmarkEnd w:id="75"/>
    <w:p>
      <w:pPr>
        <w:rPr>
          <w:rFonts w:ascii="宋体" w:hAnsi="宋体"/>
          <w:szCs w:val="21"/>
          <w:highlight w:val="none"/>
        </w:rPr>
      </w:pPr>
      <w:bookmarkStart w:id="83"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cs="宋体"/>
          <w:color w:val="auto"/>
          <w:sz w:val="28"/>
          <w:szCs w:val="28"/>
          <w:highlight w:val="none"/>
          <w:u w:val="single"/>
          <w:lang w:val="en-US" w:eastAsia="zh-CN"/>
        </w:rPr>
        <w:t>南充市滨江北路互通及石油东西路改造工程（二期）防护桩及土钉防护工程劳务分包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84" w:name="_Toc123786882"/>
      <w:bookmarkStart w:id="85" w:name="_Toc123786884"/>
      <w:r>
        <w:rPr>
          <w:rFonts w:hint="eastAsia" w:ascii="宋体" w:hAnsi="宋体"/>
          <w:szCs w:val="21"/>
          <w:highlight w:val="none"/>
        </w:rPr>
        <w:t>附表三：法定代表人授权书</w:t>
      </w:r>
      <w:bookmarkEnd w:id="84"/>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cs="宋体"/>
          <w:color w:val="auto"/>
          <w:sz w:val="28"/>
          <w:szCs w:val="28"/>
          <w:highlight w:val="none"/>
          <w:u w:val="single"/>
          <w:lang w:val="en-US" w:eastAsia="zh-CN"/>
        </w:rPr>
        <w:t>南充市滨江北路互通及石油东西路改造工程（二期）防护桩及土钉防护工程劳务分包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3"/>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3"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BbiDqsCAgAAKw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3"/>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85"/>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jc w:val="center"/>
        <w:rPr>
          <w:rFonts w:ascii="宋体" w:hAnsi="宋体"/>
          <w:b/>
          <w:bCs/>
          <w:sz w:val="28"/>
          <w:szCs w:val="28"/>
          <w:highlight w:val="none"/>
        </w:rPr>
      </w:pPr>
      <w:r>
        <w:rPr>
          <w:rFonts w:hint="eastAsia" w:ascii="宋体" w:hAnsi="宋体" w:cs="宋体"/>
          <w:b/>
          <w:bCs/>
          <w:w w:val="100"/>
          <w:sz w:val="28"/>
          <w:szCs w:val="28"/>
          <w:highlight w:val="none"/>
          <w:lang w:val="en-US" w:eastAsia="zh-CN"/>
        </w:rPr>
        <w:t>南充市滨江北路互通及石油东西路改造工程（二期）防护桩及土钉防护工程劳务分包</w:t>
      </w:r>
    </w:p>
    <w:p>
      <w:pPr>
        <w:jc w:val="left"/>
        <w:rPr>
          <w:rFonts w:ascii="宋体" w:hAnsi="宋体" w:cs="宋体"/>
          <w:b/>
          <w:bCs/>
          <w:sz w:val="24"/>
          <w:highlight w:val="none"/>
        </w:rPr>
      </w:pP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13"/>
        <w:tblW w:w="15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9"/>
        <w:gridCol w:w="1296"/>
        <w:gridCol w:w="587"/>
        <w:gridCol w:w="709"/>
        <w:gridCol w:w="2767"/>
        <w:gridCol w:w="2106"/>
        <w:gridCol w:w="634"/>
        <w:gridCol w:w="763"/>
        <w:gridCol w:w="1149"/>
        <w:gridCol w:w="1412"/>
        <w:gridCol w:w="1248"/>
        <w:gridCol w:w="1261"/>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8" w:hRule="atLeast"/>
          <w:jc w:val="center"/>
        </w:trPr>
        <w:tc>
          <w:tcPr>
            <w:tcW w:w="8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200" w:hanging="420" w:hangingChars="20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    序号</w:t>
            </w:r>
          </w:p>
        </w:tc>
        <w:tc>
          <w:tcPr>
            <w:tcW w:w="188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分部分项工程名称</w:t>
            </w:r>
          </w:p>
        </w:tc>
        <w:tc>
          <w:tcPr>
            <w:tcW w:w="3476" w:type="dxa"/>
            <w:gridSpan w:val="2"/>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2106"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3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计量</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单位</w:t>
            </w:r>
          </w:p>
        </w:tc>
        <w:tc>
          <w:tcPr>
            <w:tcW w:w="76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暂定工程量</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限价（含税）</w:t>
            </w:r>
          </w:p>
        </w:tc>
        <w:tc>
          <w:tcPr>
            <w:tcW w:w="250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报价（含税）</w:t>
            </w:r>
          </w:p>
        </w:tc>
        <w:tc>
          <w:tcPr>
            <w:tcW w:w="802"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jc w:val="center"/>
        </w:trPr>
        <w:tc>
          <w:tcPr>
            <w:tcW w:w="85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883"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3476" w:type="dxa"/>
            <w:gridSpan w:val="2"/>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lang w:eastAsia="zh-CN"/>
              </w:rPr>
            </w:pPr>
            <w:r>
              <w:rPr>
                <w:rFonts w:hint="eastAsia" w:ascii="宋体" w:hAnsi="宋体" w:eastAsia="宋体" w:cs="宋体"/>
                <w:i w:val="0"/>
                <w:color w:val="000000"/>
                <w:sz w:val="21"/>
                <w:szCs w:val="21"/>
                <w:highlight w:val="none"/>
                <w:u w:val="none"/>
                <w:lang w:eastAsia="zh-CN"/>
              </w:rPr>
              <w:t>特征及内容</w:t>
            </w:r>
          </w:p>
        </w:tc>
        <w:tc>
          <w:tcPr>
            <w:tcW w:w="2106"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计价计量方式</w:t>
            </w:r>
          </w:p>
        </w:tc>
        <w:tc>
          <w:tcPr>
            <w:tcW w:w="63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76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综合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单价</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总价</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综合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单价</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总价</w:t>
            </w:r>
          </w:p>
        </w:tc>
        <w:tc>
          <w:tcPr>
            <w:tcW w:w="802"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冠梁混凝土垫层</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27.63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2072.25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基础梁(支护桩冠梁)</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人工清理基底、 砼浇筑、养护等全部工作内容。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以m³为计价单位，按设计体积计算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751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29.36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22049.36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声测管安装</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声测管原材卸载、场内转运、安装、封口、桩检配合等全部工作内容。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15492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3.76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58249.92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钢筋制安</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钢筋原材卸载、存放、保护、制作、场内转运、安装等全部工作内容。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以t为计价单位，按设计重量计算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3107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986.00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3063502.00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锚杆钻孔灌浆(钢管)</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注浆管原材卸载、存放、保护、制作、场内转运、安装、注浆等全部工作内容。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656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24928.00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锚杆钻孔灌浆(钢筋)</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钢筋原材卸载、存放、保护、制作、场内转运、安装、注浆等全部工作内容。</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以m为计价单位，按设计长度计算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5784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172363.20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人工整理边坡</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边坡人工清理、平整</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37"/>
                <w:rFonts w:hint="eastAsia" w:ascii="宋体" w:hAnsi="宋体" w:eastAsia="宋体" w:cs="宋体"/>
                <w:lang w:val="en-US" w:eastAsia="zh-CN" w:bidi="ar"/>
              </w:rPr>
              <w:t>以</w:t>
            </w:r>
            <w:r>
              <w:rPr>
                <w:rStyle w:val="39"/>
                <w:rFonts w:hint="eastAsia" w:ascii="宋体" w:hAnsi="宋体" w:eastAsia="宋体" w:cs="宋体"/>
                <w:lang w:val="en-US" w:eastAsia="zh-CN" w:bidi="ar"/>
              </w:rPr>
              <w:t>㎡</w:t>
            </w:r>
            <w:r>
              <w:rPr>
                <w:rStyle w:val="37"/>
                <w:rFonts w:hint="eastAsia" w:ascii="宋体" w:hAnsi="宋体" w:eastAsia="宋体" w:cs="宋体"/>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4450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1.44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6408.00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反滤土工布 300*400g/m</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反滤土工布铺设</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37"/>
                <w:rFonts w:hint="eastAsia" w:ascii="宋体" w:hAnsi="宋体" w:eastAsia="宋体" w:cs="宋体"/>
                <w:lang w:val="en-US" w:eastAsia="zh-CN" w:bidi="ar"/>
              </w:rPr>
              <w:t>以</w:t>
            </w:r>
            <w:r>
              <w:rPr>
                <w:rStyle w:val="39"/>
                <w:rFonts w:hint="eastAsia" w:ascii="宋体" w:hAnsi="宋体" w:eastAsia="宋体" w:cs="宋体"/>
                <w:lang w:val="en-US" w:eastAsia="zh-CN" w:bidi="ar"/>
              </w:rPr>
              <w:t>㎡</w:t>
            </w:r>
            <w:r>
              <w:rPr>
                <w:rStyle w:val="37"/>
                <w:rFonts w:hint="eastAsia" w:ascii="宋体" w:hAnsi="宋体" w:eastAsia="宋体" w:cs="宋体"/>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3830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4596.00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土钉墙喷射混凝土 100厚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孔位定位、成孔、置钉、注浆、钢筋网铺设、喷射混凝土面层成型、养护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37"/>
                <w:rFonts w:hint="eastAsia" w:ascii="宋体" w:hAnsi="宋体" w:eastAsia="宋体" w:cs="宋体"/>
                <w:lang w:val="en-US" w:eastAsia="zh-CN" w:bidi="ar"/>
              </w:rPr>
              <w:t>以</w:t>
            </w:r>
            <w:r>
              <w:rPr>
                <w:rStyle w:val="39"/>
                <w:rFonts w:hint="eastAsia" w:ascii="宋体" w:hAnsi="宋体" w:eastAsia="宋体" w:cs="宋体"/>
                <w:lang w:val="en-US" w:eastAsia="zh-CN" w:bidi="ar"/>
              </w:rPr>
              <w:t>㎡</w:t>
            </w:r>
            <w:r>
              <w:rPr>
                <w:rStyle w:val="37"/>
                <w:rFonts w:hint="eastAsia" w:ascii="宋体" w:hAnsi="宋体" w:eastAsia="宋体" w:cs="宋体"/>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4899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293940.00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支护桩弧形边喷射混凝土 110厚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孔位定位、成孔、置钉、注浆、钢筋网铺设、喷射混凝土面层成型、养护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37"/>
                <w:rFonts w:hint="eastAsia" w:ascii="宋体" w:hAnsi="宋体" w:eastAsia="宋体" w:cs="宋体"/>
                <w:lang w:val="en-US" w:eastAsia="zh-CN" w:bidi="ar"/>
              </w:rPr>
              <w:t>以</w:t>
            </w:r>
            <w:r>
              <w:rPr>
                <w:rStyle w:val="39"/>
                <w:rFonts w:hint="eastAsia" w:ascii="宋体" w:hAnsi="宋体" w:eastAsia="宋体" w:cs="宋体"/>
                <w:lang w:val="en-US" w:eastAsia="zh-CN" w:bidi="ar"/>
              </w:rPr>
              <w:t>㎡</w:t>
            </w:r>
            <w:r>
              <w:rPr>
                <w:rStyle w:val="37"/>
                <w:rFonts w:hint="eastAsia" w:ascii="宋体" w:hAnsi="宋体" w:eastAsia="宋体" w:cs="宋体"/>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2337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233700.00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支护桩u间喷射混凝土 500厚</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孔位定位、成孔、置钉、注浆、钢筋网铺设、喷射混凝土面层成型、养护</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37"/>
                <w:rFonts w:hint="eastAsia" w:ascii="宋体" w:hAnsi="宋体" w:eastAsia="宋体" w:cs="宋体"/>
                <w:lang w:val="en-US" w:eastAsia="zh-CN" w:bidi="ar"/>
              </w:rPr>
              <w:t>以</w:t>
            </w:r>
            <w:r>
              <w:rPr>
                <w:rStyle w:val="39"/>
                <w:rFonts w:hint="eastAsia" w:ascii="宋体" w:hAnsi="宋体" w:eastAsia="宋体" w:cs="宋体"/>
                <w:lang w:val="en-US" w:eastAsia="zh-CN" w:bidi="ar"/>
              </w:rPr>
              <w:t>㎡</w:t>
            </w:r>
            <w:r>
              <w:rPr>
                <w:rStyle w:val="37"/>
                <w:rFonts w:hint="eastAsia" w:ascii="宋体" w:hAnsi="宋体" w:eastAsia="宋体" w:cs="宋体"/>
                <w:lang w:val="en-US" w:eastAsia="zh-CN" w:bidi="ar"/>
              </w:rPr>
              <w:t>为计价单位，按设计面积计算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1947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260.00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506220.00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开孔（泄水孔打洞）及泄水管安装</w:t>
            </w:r>
          </w:p>
        </w:tc>
        <w:tc>
          <w:tcPr>
            <w:tcW w:w="3476"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定位、成孔、清孔、泄水管安装</w:t>
            </w:r>
          </w:p>
        </w:tc>
        <w:tc>
          <w:tcPr>
            <w:tcW w:w="21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以个为计量单位，按设计数量计算</w:t>
            </w:r>
          </w:p>
        </w:tc>
        <w:tc>
          <w:tcPr>
            <w:tcW w:w="63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6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1995 </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46.07 </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91909.65 </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c>
          <w:tcPr>
            <w:tcW w:w="802"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6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i w:val="0"/>
                <w:color w:val="000000"/>
                <w:kern w:val="0"/>
                <w:sz w:val="20"/>
                <w:szCs w:val="20"/>
                <w:u w:val="none"/>
                <w:lang w:val="en-US" w:eastAsia="zh-CN" w:bidi="ar"/>
              </w:rPr>
              <w:t>金额合计</w:t>
            </w:r>
          </w:p>
        </w:tc>
        <w:tc>
          <w:tcPr>
            <w:tcW w:w="25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2"/>
                <w:sz w:val="20"/>
                <w:szCs w:val="20"/>
                <w:u w:val="none"/>
                <w:lang w:val="en-US" w:eastAsia="zh-CN" w:bidi="ar-SA"/>
              </w:rPr>
              <w:t>4479938.38</w:t>
            </w:r>
          </w:p>
        </w:tc>
        <w:tc>
          <w:tcPr>
            <w:tcW w:w="12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126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c>
          <w:tcPr>
            <w:tcW w:w="80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color w:val="000000"/>
                <w:sz w:val="21"/>
                <w:szCs w:val="21"/>
                <w:highlight w:val="none"/>
                <w:u w:val="none"/>
              </w:rPr>
            </w:pPr>
          </w:p>
        </w:tc>
      </w:tr>
      <w:bookmarkEnd w:id="76"/>
      <w:bookmarkEnd w:id="77"/>
      <w:bookmarkEnd w:id="78"/>
      <w:bookmarkEnd w:id="79"/>
      <w:bookmarkEnd w:id="80"/>
      <w:bookmarkEnd w:id="81"/>
      <w:bookmarkEnd w:id="82"/>
      <w:bookmarkEnd w:id="83"/>
    </w:tbl>
    <w:p>
      <w:pPr>
        <w:ind w:firstLine="560" w:firstLineChars="200"/>
        <w:rPr>
          <w:rFonts w:hint="eastAsia" w:ascii="宋体" w:hAnsi="宋体" w:eastAsiaTheme="minorEastAsia"/>
          <w:sz w:val="28"/>
          <w:szCs w:val="28"/>
          <w:highlight w:val="none"/>
          <w:lang w:eastAsia="zh-CN"/>
        </w:rPr>
      </w:pPr>
      <w:r>
        <w:rPr>
          <w:rFonts w:hint="eastAsia" w:ascii="宋体" w:hAnsi="宋体"/>
          <w:sz w:val="28"/>
          <w:szCs w:val="28"/>
          <w:highlight w:val="none"/>
          <w:lang w:eastAsia="zh-CN"/>
        </w:rPr>
        <w:t>其他：单价包含具体所需费用人工费、管理费、规费、税金（</w:t>
      </w:r>
      <w:r>
        <w:rPr>
          <w:rFonts w:hint="eastAsia" w:ascii="宋体" w:hAnsi="宋体"/>
          <w:sz w:val="28"/>
          <w:szCs w:val="28"/>
          <w:highlight w:val="none"/>
          <w:lang w:val="en-US" w:eastAsia="zh-CN"/>
        </w:rPr>
        <w:t>3%</w:t>
      </w:r>
      <w:r>
        <w:rPr>
          <w:rFonts w:hint="eastAsia" w:ascii="宋体" w:hAnsi="宋体"/>
          <w:sz w:val="28"/>
          <w:szCs w:val="28"/>
          <w:highlight w:val="none"/>
          <w:lang w:eastAsia="zh-CN"/>
        </w:rPr>
        <w:t>）、配合费、利润等。</w:t>
      </w:r>
    </w:p>
    <w:p>
      <w:pPr>
        <w:ind w:firstLine="7560" w:firstLineChars="2700"/>
        <w:rPr>
          <w:rFonts w:ascii="宋体" w:hAnsi="宋体"/>
          <w:sz w:val="28"/>
          <w:szCs w:val="28"/>
          <w:highlight w:val="none"/>
        </w:rPr>
      </w:pPr>
      <w:r>
        <w:rPr>
          <w:rFonts w:hint="eastAsia" w:ascii="宋体" w:hAnsi="宋体"/>
          <w:sz w:val="28"/>
          <w:szCs w:val="28"/>
          <w:highlight w:val="none"/>
        </w:rPr>
        <w:t>投标单位：（盖章）</w:t>
      </w:r>
    </w:p>
    <w:p>
      <w:pPr>
        <w:ind w:firstLine="7560" w:firstLineChars="27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6838" w:h="11906" w:orient="landscape"/>
          <w:pgMar w:top="1135" w:right="1440" w:bottom="1135" w:left="1440"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日期：    年    月    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44"/>
          <w:szCs w:val="44"/>
          <w:highlight w:val="none"/>
          <w:lang w:val="en-US" w:eastAsia="zh-CN"/>
        </w:rPr>
      </w:pPr>
      <w:r>
        <w:rPr>
          <w:rFonts w:hint="eastAsia" w:ascii="Calibri" w:hAnsi="Calibri" w:eastAsia="宋体" w:cs="宋体"/>
          <w:b/>
          <w:bCs/>
          <w:w w:val="90"/>
          <w:sz w:val="44"/>
          <w:szCs w:val="44"/>
          <w:highlight w:val="none"/>
          <w:lang w:val="en-US" w:eastAsia="zh-CN"/>
        </w:rPr>
        <w:t>南充市滨江北路互通及石油东西路改造工程（二期）</w:t>
      </w:r>
    </w:p>
    <w:p>
      <w:pPr>
        <w:spacing w:line="560" w:lineRule="exact"/>
        <w:jc w:val="center"/>
        <w:rPr>
          <w:rFonts w:hint="eastAsia"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val="en-US" w:eastAsia="zh-CN"/>
        </w:rPr>
        <w:t>防护桩及土钉防护工程劳务分包</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p>
      <w:pPr>
        <w:adjustRightInd w:val="0"/>
        <w:snapToGrid w:val="0"/>
        <w:spacing w:line="560" w:lineRule="exact"/>
        <w:jc w:val="left"/>
        <w:rPr>
          <w:b/>
          <w:sz w:val="32"/>
          <w:szCs w:val="32"/>
          <w:highlight w:val="none"/>
        </w:rPr>
      </w:pPr>
    </w:p>
    <w:p>
      <w:pPr>
        <w:rPr>
          <w:highlight w:val="none"/>
        </w:rPr>
      </w:pPr>
    </w:p>
    <w:sectPr>
      <w:headerReference r:id="rId7" w:type="default"/>
      <w:footerReference r:id="rId8"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dx6TfSAQAAowMAAA4AAABkcnMvZTJvRG9jLnhtbK1TzY7TMBC+&#10;I/EOlu80adF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5F2Sp/dQY9atx7w4fHADLs18D3iZWA8ymPRFPgTjKO7pIq4YIuHpUbWqqhJDHGOzg/jF/XMf&#10;IH4UzpBkNDTg9LKo7PgZ4pg6p6Rq1t0orfMEtSU9ol5Vb6/yi0sI0bXFIonF2G2y4rAbJmo7156Q&#10;WY8r0FCLG0+J/mRR4bQtsxFmYzcbBx/UvsMml7ke+PeHiO3kLlOFEXYqjLPLPKc9S8vxv5+z7v+t&#10;z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3HpN9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0ydhLSAQAAow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ZJnt5DjVmPHvPi8MENuDTzPeBlYj3IYNIX+RCMo7ini7hiiISnR9WqqkoMcYzNDuIXT899&#10;gHgnnCHJaGjA6WVR2fEB4pg6p6Rq1t0qrfMEtSU9ol5V767yi0sI0bXFIonF2G2y4rAbJmo7156Q&#10;WY8r0FCLG0+JvreocNqW2QizsZuNgw9q32GTy1wP/PtDxHZyl6nCCDsVxtllntOepeX4289ZT//W&#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TJ2Et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2B207AD"/>
    <w:multiLevelType w:val="singleLevel"/>
    <w:tmpl w:val="52B207AD"/>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4CCB"/>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1CB7DA1"/>
    <w:rsid w:val="021D65C6"/>
    <w:rsid w:val="0331682D"/>
    <w:rsid w:val="03643C29"/>
    <w:rsid w:val="05B718DC"/>
    <w:rsid w:val="05F978C3"/>
    <w:rsid w:val="07551FF2"/>
    <w:rsid w:val="076607A0"/>
    <w:rsid w:val="080747BF"/>
    <w:rsid w:val="0A5160E5"/>
    <w:rsid w:val="0A9521AE"/>
    <w:rsid w:val="0AEB5542"/>
    <w:rsid w:val="0AF86923"/>
    <w:rsid w:val="0BC822D3"/>
    <w:rsid w:val="0C7D0BA0"/>
    <w:rsid w:val="0C87196C"/>
    <w:rsid w:val="0D2903B3"/>
    <w:rsid w:val="0D3C53C5"/>
    <w:rsid w:val="0D9969A2"/>
    <w:rsid w:val="0DAC05EB"/>
    <w:rsid w:val="0E093356"/>
    <w:rsid w:val="0E0E0FA8"/>
    <w:rsid w:val="0E2535B5"/>
    <w:rsid w:val="0E8779C7"/>
    <w:rsid w:val="0EEE1C77"/>
    <w:rsid w:val="0F202574"/>
    <w:rsid w:val="0F883FCB"/>
    <w:rsid w:val="0F897A30"/>
    <w:rsid w:val="0F8C5DFC"/>
    <w:rsid w:val="10557990"/>
    <w:rsid w:val="10804EF7"/>
    <w:rsid w:val="119C0C20"/>
    <w:rsid w:val="119C329D"/>
    <w:rsid w:val="11B04516"/>
    <w:rsid w:val="12930DAE"/>
    <w:rsid w:val="12C216A0"/>
    <w:rsid w:val="13135F99"/>
    <w:rsid w:val="132701C8"/>
    <w:rsid w:val="138D55CF"/>
    <w:rsid w:val="14602674"/>
    <w:rsid w:val="14BE18C7"/>
    <w:rsid w:val="14FE34BA"/>
    <w:rsid w:val="15905B94"/>
    <w:rsid w:val="15977186"/>
    <w:rsid w:val="15CF3567"/>
    <w:rsid w:val="15E36240"/>
    <w:rsid w:val="16EE7698"/>
    <w:rsid w:val="179F23F1"/>
    <w:rsid w:val="17A12E6C"/>
    <w:rsid w:val="182F7287"/>
    <w:rsid w:val="188507F1"/>
    <w:rsid w:val="18E810AC"/>
    <w:rsid w:val="19261C71"/>
    <w:rsid w:val="1A166266"/>
    <w:rsid w:val="1A5D2729"/>
    <w:rsid w:val="1A8F2AE9"/>
    <w:rsid w:val="1AF71470"/>
    <w:rsid w:val="1B1208B1"/>
    <w:rsid w:val="1B8A0199"/>
    <w:rsid w:val="1B993684"/>
    <w:rsid w:val="1BBB2CD6"/>
    <w:rsid w:val="1BC76B49"/>
    <w:rsid w:val="1BCD74AD"/>
    <w:rsid w:val="1C001EA2"/>
    <w:rsid w:val="1CA26100"/>
    <w:rsid w:val="1DE9282D"/>
    <w:rsid w:val="1E116E3D"/>
    <w:rsid w:val="1E3F6653"/>
    <w:rsid w:val="1E521740"/>
    <w:rsid w:val="1F5C6568"/>
    <w:rsid w:val="2048163B"/>
    <w:rsid w:val="2063437F"/>
    <w:rsid w:val="220B5951"/>
    <w:rsid w:val="22564BEA"/>
    <w:rsid w:val="22602402"/>
    <w:rsid w:val="2290450F"/>
    <w:rsid w:val="230D5302"/>
    <w:rsid w:val="230F4BBC"/>
    <w:rsid w:val="23125D7D"/>
    <w:rsid w:val="23A8331E"/>
    <w:rsid w:val="23B57168"/>
    <w:rsid w:val="23E30653"/>
    <w:rsid w:val="24423AD3"/>
    <w:rsid w:val="2459385A"/>
    <w:rsid w:val="2483170C"/>
    <w:rsid w:val="248D3585"/>
    <w:rsid w:val="249E0FF5"/>
    <w:rsid w:val="24B02A38"/>
    <w:rsid w:val="24E71476"/>
    <w:rsid w:val="2519272F"/>
    <w:rsid w:val="253321E3"/>
    <w:rsid w:val="258A0511"/>
    <w:rsid w:val="26733242"/>
    <w:rsid w:val="26A45FEA"/>
    <w:rsid w:val="27594E13"/>
    <w:rsid w:val="27AD2F6E"/>
    <w:rsid w:val="27E93EC6"/>
    <w:rsid w:val="28065FCE"/>
    <w:rsid w:val="283B75C6"/>
    <w:rsid w:val="29533DC6"/>
    <w:rsid w:val="29E32F40"/>
    <w:rsid w:val="2C3F65FE"/>
    <w:rsid w:val="2C7B38ED"/>
    <w:rsid w:val="2C7D6E2E"/>
    <w:rsid w:val="2D517F39"/>
    <w:rsid w:val="2D952F6E"/>
    <w:rsid w:val="2ED81D5A"/>
    <w:rsid w:val="2F3C6055"/>
    <w:rsid w:val="30CC1EB4"/>
    <w:rsid w:val="31A0421D"/>
    <w:rsid w:val="31F177B0"/>
    <w:rsid w:val="32424E91"/>
    <w:rsid w:val="33334E5E"/>
    <w:rsid w:val="336F5734"/>
    <w:rsid w:val="337E4ED7"/>
    <w:rsid w:val="33842054"/>
    <w:rsid w:val="33F00908"/>
    <w:rsid w:val="347E5F46"/>
    <w:rsid w:val="35A55456"/>
    <w:rsid w:val="35BD194F"/>
    <w:rsid w:val="35E17820"/>
    <w:rsid w:val="36056E7E"/>
    <w:rsid w:val="36372BEB"/>
    <w:rsid w:val="36C764F5"/>
    <w:rsid w:val="374054AA"/>
    <w:rsid w:val="374C3999"/>
    <w:rsid w:val="37B949D5"/>
    <w:rsid w:val="37FD4C6C"/>
    <w:rsid w:val="388E6C57"/>
    <w:rsid w:val="3A16740B"/>
    <w:rsid w:val="3A1E0E6E"/>
    <w:rsid w:val="3A367996"/>
    <w:rsid w:val="3A510B03"/>
    <w:rsid w:val="3A8C5BF7"/>
    <w:rsid w:val="3A944FC6"/>
    <w:rsid w:val="3AFC5472"/>
    <w:rsid w:val="3D6F1491"/>
    <w:rsid w:val="3D9A74CB"/>
    <w:rsid w:val="3DEA77E5"/>
    <w:rsid w:val="3E867B7C"/>
    <w:rsid w:val="3F8F027E"/>
    <w:rsid w:val="408465D1"/>
    <w:rsid w:val="40BA2898"/>
    <w:rsid w:val="40F279D9"/>
    <w:rsid w:val="41DF3752"/>
    <w:rsid w:val="42434E7E"/>
    <w:rsid w:val="42995364"/>
    <w:rsid w:val="42B3753D"/>
    <w:rsid w:val="42FA6813"/>
    <w:rsid w:val="43712B16"/>
    <w:rsid w:val="439336BC"/>
    <w:rsid w:val="445653C0"/>
    <w:rsid w:val="44DF244D"/>
    <w:rsid w:val="45375669"/>
    <w:rsid w:val="459F4073"/>
    <w:rsid w:val="45DD1B22"/>
    <w:rsid w:val="46977388"/>
    <w:rsid w:val="46CD2D9F"/>
    <w:rsid w:val="46EA5A39"/>
    <w:rsid w:val="47005318"/>
    <w:rsid w:val="470E1013"/>
    <w:rsid w:val="47600B29"/>
    <w:rsid w:val="48F812ED"/>
    <w:rsid w:val="492F3DF4"/>
    <w:rsid w:val="493F0704"/>
    <w:rsid w:val="4A026112"/>
    <w:rsid w:val="4A1A2277"/>
    <w:rsid w:val="4A3C454D"/>
    <w:rsid w:val="4A6661C3"/>
    <w:rsid w:val="4AC2086B"/>
    <w:rsid w:val="4B0A0336"/>
    <w:rsid w:val="4B271FF1"/>
    <w:rsid w:val="4BA542DC"/>
    <w:rsid w:val="4C6628B8"/>
    <w:rsid w:val="4C9E56C7"/>
    <w:rsid w:val="4D011BD8"/>
    <w:rsid w:val="4D052A34"/>
    <w:rsid w:val="4D6233F6"/>
    <w:rsid w:val="4DF76D7D"/>
    <w:rsid w:val="4E346989"/>
    <w:rsid w:val="4E785092"/>
    <w:rsid w:val="4F472660"/>
    <w:rsid w:val="4F987F8C"/>
    <w:rsid w:val="4F9D135B"/>
    <w:rsid w:val="4FC96CF4"/>
    <w:rsid w:val="4FE311F5"/>
    <w:rsid w:val="50080D44"/>
    <w:rsid w:val="502531D8"/>
    <w:rsid w:val="50EE4670"/>
    <w:rsid w:val="518A79A8"/>
    <w:rsid w:val="519C16C4"/>
    <w:rsid w:val="5298273F"/>
    <w:rsid w:val="531F440B"/>
    <w:rsid w:val="54EE18E4"/>
    <w:rsid w:val="55D15668"/>
    <w:rsid w:val="5654501D"/>
    <w:rsid w:val="568E4E0A"/>
    <w:rsid w:val="56DF2795"/>
    <w:rsid w:val="56F90CAF"/>
    <w:rsid w:val="57E74708"/>
    <w:rsid w:val="57E8649D"/>
    <w:rsid w:val="58175555"/>
    <w:rsid w:val="582122BF"/>
    <w:rsid w:val="58923ADF"/>
    <w:rsid w:val="589D41C1"/>
    <w:rsid w:val="58C67C45"/>
    <w:rsid w:val="58CA093F"/>
    <w:rsid w:val="59165EC7"/>
    <w:rsid w:val="592D145D"/>
    <w:rsid w:val="59603D6F"/>
    <w:rsid w:val="5B3257BD"/>
    <w:rsid w:val="5B961925"/>
    <w:rsid w:val="5B9D39A8"/>
    <w:rsid w:val="5C411FD6"/>
    <w:rsid w:val="5C451C48"/>
    <w:rsid w:val="5CF6578A"/>
    <w:rsid w:val="5D0122EF"/>
    <w:rsid w:val="5D285253"/>
    <w:rsid w:val="5DA372BC"/>
    <w:rsid w:val="5DB437BE"/>
    <w:rsid w:val="5EA246CE"/>
    <w:rsid w:val="5F31265B"/>
    <w:rsid w:val="5F9751BF"/>
    <w:rsid w:val="5FDD423F"/>
    <w:rsid w:val="5FE963FA"/>
    <w:rsid w:val="61155C32"/>
    <w:rsid w:val="622207D5"/>
    <w:rsid w:val="627915C9"/>
    <w:rsid w:val="627E0E8F"/>
    <w:rsid w:val="63993EAB"/>
    <w:rsid w:val="64BB2A7A"/>
    <w:rsid w:val="64E94BF3"/>
    <w:rsid w:val="6593279F"/>
    <w:rsid w:val="65A255AA"/>
    <w:rsid w:val="66BE6ED0"/>
    <w:rsid w:val="66F933D6"/>
    <w:rsid w:val="687065EF"/>
    <w:rsid w:val="68E62CD7"/>
    <w:rsid w:val="69553127"/>
    <w:rsid w:val="6A351234"/>
    <w:rsid w:val="6A5E31DE"/>
    <w:rsid w:val="6AD34B19"/>
    <w:rsid w:val="6B0A51FC"/>
    <w:rsid w:val="6B2350A6"/>
    <w:rsid w:val="6B8D6E24"/>
    <w:rsid w:val="6BDF0103"/>
    <w:rsid w:val="6BF92C8F"/>
    <w:rsid w:val="6CA470BB"/>
    <w:rsid w:val="6EC66E88"/>
    <w:rsid w:val="6FAC5B41"/>
    <w:rsid w:val="6FB9250E"/>
    <w:rsid w:val="706546A0"/>
    <w:rsid w:val="70F9192E"/>
    <w:rsid w:val="714C2F47"/>
    <w:rsid w:val="715F2D1C"/>
    <w:rsid w:val="71E107CB"/>
    <w:rsid w:val="7200353C"/>
    <w:rsid w:val="72D91A28"/>
    <w:rsid w:val="733E7B7A"/>
    <w:rsid w:val="73D05BB5"/>
    <w:rsid w:val="740059EF"/>
    <w:rsid w:val="741A23B4"/>
    <w:rsid w:val="74685BF6"/>
    <w:rsid w:val="74A5717F"/>
    <w:rsid w:val="75062EBF"/>
    <w:rsid w:val="751377BA"/>
    <w:rsid w:val="76781C65"/>
    <w:rsid w:val="76DB57BA"/>
    <w:rsid w:val="773918AE"/>
    <w:rsid w:val="77AD2FD5"/>
    <w:rsid w:val="77C605AF"/>
    <w:rsid w:val="77EA3EA6"/>
    <w:rsid w:val="7802441D"/>
    <w:rsid w:val="785E0132"/>
    <w:rsid w:val="78702305"/>
    <w:rsid w:val="78CC1BA3"/>
    <w:rsid w:val="78DF169B"/>
    <w:rsid w:val="795B5BD3"/>
    <w:rsid w:val="79635CCA"/>
    <w:rsid w:val="798448C3"/>
    <w:rsid w:val="79EA7DC3"/>
    <w:rsid w:val="7A112FD8"/>
    <w:rsid w:val="7A134B48"/>
    <w:rsid w:val="7A1706EE"/>
    <w:rsid w:val="7A7E543C"/>
    <w:rsid w:val="7AB55436"/>
    <w:rsid w:val="7AC54C16"/>
    <w:rsid w:val="7AF335F8"/>
    <w:rsid w:val="7AF958CA"/>
    <w:rsid w:val="7B5613CF"/>
    <w:rsid w:val="7B65151E"/>
    <w:rsid w:val="7B992D71"/>
    <w:rsid w:val="7C1709B7"/>
    <w:rsid w:val="7C600037"/>
    <w:rsid w:val="7CAC0A6E"/>
    <w:rsid w:val="7CFC2D8E"/>
    <w:rsid w:val="7D2E255B"/>
    <w:rsid w:val="7D3816DE"/>
    <w:rsid w:val="7DD62379"/>
    <w:rsid w:val="7E3D6494"/>
    <w:rsid w:val="7E783708"/>
    <w:rsid w:val="7F1F2188"/>
    <w:rsid w:val="7F463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line="576" w:lineRule="auto"/>
      <w:outlineLvl w:val="0"/>
    </w:pPr>
    <w:rPr>
      <w:b/>
      <w:kern w:val="44"/>
      <w:sz w:val="44"/>
    </w:rPr>
  </w:style>
  <w:style w:type="paragraph" w:styleId="3">
    <w:name w:val="heading 2"/>
    <w:basedOn w:val="1"/>
    <w:next w:val="1"/>
    <w:link w:val="30"/>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3"/>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1"/>
    <w:qFormat/>
    <w:uiPriority w:val="0"/>
    <w:pPr>
      <w:shd w:val="clear" w:color="auto" w:fill="000080"/>
    </w:pPr>
  </w:style>
  <w:style w:type="paragraph" w:styleId="6">
    <w:name w:val="annotation text"/>
    <w:basedOn w:val="1"/>
    <w:link w:val="25"/>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5"/>
    <w:qFormat/>
    <w:uiPriority w:val="0"/>
  </w:style>
  <w:style w:type="paragraph" w:styleId="8">
    <w:name w:val="Balloon Text"/>
    <w:basedOn w:val="1"/>
    <w:link w:val="36"/>
    <w:qFormat/>
    <w:uiPriority w:val="0"/>
    <w:rPr>
      <w:sz w:val="18"/>
    </w:rPr>
  </w:style>
  <w:style w:type="paragraph" w:styleId="9">
    <w:name w:val="footer"/>
    <w:basedOn w:val="1"/>
    <w:link w:val="32"/>
    <w:qFormat/>
    <w:uiPriority w:val="0"/>
    <w:pPr>
      <w:tabs>
        <w:tab w:val="center" w:pos="4153"/>
        <w:tab w:val="right" w:pos="8306"/>
      </w:tabs>
      <w:snapToGrid w:val="0"/>
      <w:jc w:val="left"/>
    </w:pPr>
    <w:rPr>
      <w:sz w:val="18"/>
    </w:rPr>
  </w:style>
  <w:style w:type="paragraph" w:styleId="1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character" w:customStyle="1" w:styleId="20">
    <w:name w:val="标题 1 Char"/>
    <w:basedOn w:val="15"/>
    <w:link w:val="2"/>
    <w:qFormat/>
    <w:uiPriority w:val="0"/>
    <w:rPr>
      <w:rFonts w:hint="default" w:ascii="Calibri" w:hAnsi="Calibri" w:cs="Calibri"/>
      <w:b/>
      <w:kern w:val="44"/>
      <w:sz w:val="44"/>
      <w:szCs w:val="44"/>
    </w:rPr>
  </w:style>
  <w:style w:type="character" w:customStyle="1" w:styleId="21">
    <w:name w:val="批注文字 Char2"/>
    <w:basedOn w:val="15"/>
    <w:link w:val="6"/>
    <w:qFormat/>
    <w:uiPriority w:val="0"/>
    <w:rPr>
      <w:rFonts w:hint="default" w:ascii="Calibri" w:hAnsi="Calibri" w:cs="Calibri"/>
      <w:kern w:val="2"/>
      <w:sz w:val="21"/>
      <w:szCs w:val="22"/>
    </w:rPr>
  </w:style>
  <w:style w:type="character" w:customStyle="1" w:styleId="22">
    <w:name w:val="批注文字 Char"/>
    <w:basedOn w:val="15"/>
    <w:qFormat/>
    <w:uiPriority w:val="0"/>
    <w:rPr>
      <w:sz w:val="24"/>
    </w:rPr>
  </w:style>
  <w:style w:type="character" w:customStyle="1" w:styleId="23">
    <w:name w:val="标题 3 Char"/>
    <w:basedOn w:val="15"/>
    <w:link w:val="4"/>
    <w:qFormat/>
    <w:uiPriority w:val="0"/>
    <w:rPr>
      <w:rFonts w:hint="default" w:ascii="Calibri" w:hAnsi="Calibri" w:cs="Calibri"/>
      <w:b/>
      <w:kern w:val="2"/>
      <w:sz w:val="32"/>
      <w:szCs w:val="32"/>
    </w:rPr>
  </w:style>
  <w:style w:type="paragraph" w:customStyle="1" w:styleId="24">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5">
    <w:name w:val="批注文字 Char1"/>
    <w:basedOn w:val="15"/>
    <w:link w:val="6"/>
    <w:qFormat/>
    <w:uiPriority w:val="0"/>
    <w:rPr>
      <w:rFonts w:hint="default" w:ascii="Calibri" w:hAnsi="Calibri" w:cs="Calibri"/>
      <w:kern w:val="2"/>
      <w:sz w:val="21"/>
      <w:szCs w:val="22"/>
    </w:rPr>
  </w:style>
  <w:style w:type="character" w:customStyle="1" w:styleId="26">
    <w:name w:val="正文文本 Char"/>
    <w:basedOn w:val="15"/>
    <w:link w:val="7"/>
    <w:qFormat/>
    <w:uiPriority w:val="0"/>
    <w:rPr>
      <w:rFonts w:hint="eastAsia" w:ascii="宋体" w:hAnsi="宋体" w:eastAsia="宋体" w:cs="宋体"/>
      <w:kern w:val="2"/>
      <w:sz w:val="24"/>
      <w:szCs w:val="24"/>
    </w:rPr>
  </w:style>
  <w:style w:type="character" w:customStyle="1" w:styleId="27">
    <w:name w:val="文档结构图 Char1"/>
    <w:basedOn w:val="15"/>
    <w:link w:val="5"/>
    <w:qFormat/>
    <w:uiPriority w:val="0"/>
    <w:rPr>
      <w:rFonts w:hint="eastAsia" w:ascii="宋体" w:hAnsi="Calibri" w:eastAsia="宋体" w:cs="宋体"/>
      <w:kern w:val="2"/>
      <w:sz w:val="18"/>
      <w:szCs w:val="18"/>
    </w:rPr>
  </w:style>
  <w:style w:type="character" w:customStyle="1" w:styleId="28">
    <w:name w:val="批注框文本 Char"/>
    <w:basedOn w:val="15"/>
    <w:link w:val="8"/>
    <w:qFormat/>
    <w:uiPriority w:val="0"/>
    <w:rPr>
      <w:sz w:val="18"/>
      <w:szCs w:val="18"/>
    </w:rPr>
  </w:style>
  <w:style w:type="character" w:customStyle="1" w:styleId="29">
    <w:name w:val="页脚 Char1"/>
    <w:basedOn w:val="15"/>
    <w:link w:val="9"/>
    <w:qFormat/>
    <w:uiPriority w:val="0"/>
    <w:rPr>
      <w:rFonts w:hint="default" w:ascii="Calibri" w:hAnsi="Calibri" w:cs="Calibri"/>
      <w:kern w:val="2"/>
      <w:sz w:val="18"/>
      <w:szCs w:val="18"/>
    </w:rPr>
  </w:style>
  <w:style w:type="character" w:customStyle="1" w:styleId="30">
    <w:name w:val="标题 2 Char"/>
    <w:basedOn w:val="15"/>
    <w:link w:val="3"/>
    <w:qFormat/>
    <w:uiPriority w:val="0"/>
    <w:rPr>
      <w:rFonts w:hint="default" w:ascii="Cambria" w:hAnsi="Cambria" w:eastAsia="Cambria" w:cs="Cambria"/>
      <w:b/>
      <w:kern w:val="2"/>
      <w:sz w:val="32"/>
      <w:szCs w:val="32"/>
    </w:rPr>
  </w:style>
  <w:style w:type="character" w:customStyle="1" w:styleId="31">
    <w:name w:val="文档结构图 Char"/>
    <w:basedOn w:val="15"/>
    <w:link w:val="5"/>
    <w:qFormat/>
    <w:uiPriority w:val="0"/>
    <w:rPr>
      <w:rFonts w:hint="eastAsia" w:ascii="宋体" w:hAnsi="Calibri" w:eastAsia="宋体" w:cs="宋体"/>
      <w:kern w:val="2"/>
      <w:sz w:val="18"/>
      <w:szCs w:val="18"/>
    </w:rPr>
  </w:style>
  <w:style w:type="character" w:customStyle="1" w:styleId="32">
    <w:name w:val="页脚 Char"/>
    <w:basedOn w:val="15"/>
    <w:link w:val="9"/>
    <w:qFormat/>
    <w:uiPriority w:val="0"/>
    <w:rPr>
      <w:sz w:val="18"/>
      <w:szCs w:val="18"/>
    </w:rPr>
  </w:style>
  <w:style w:type="character" w:customStyle="1" w:styleId="33">
    <w:name w:val="页眉 Char"/>
    <w:basedOn w:val="15"/>
    <w:link w:val="10"/>
    <w:qFormat/>
    <w:uiPriority w:val="0"/>
    <w:rPr>
      <w:sz w:val="18"/>
      <w:szCs w:val="18"/>
    </w:rPr>
  </w:style>
  <w:style w:type="character" w:customStyle="1" w:styleId="34">
    <w:name w:val="页眉 Char1"/>
    <w:basedOn w:val="15"/>
    <w:link w:val="10"/>
    <w:qFormat/>
    <w:uiPriority w:val="0"/>
    <w:rPr>
      <w:rFonts w:hint="default" w:ascii="Calibri" w:hAnsi="Calibri" w:cs="Calibri"/>
      <w:kern w:val="2"/>
      <w:sz w:val="18"/>
      <w:szCs w:val="18"/>
    </w:rPr>
  </w:style>
  <w:style w:type="character" w:customStyle="1" w:styleId="35">
    <w:name w:val="正文文本 Char1"/>
    <w:basedOn w:val="15"/>
    <w:link w:val="7"/>
    <w:qFormat/>
    <w:uiPriority w:val="0"/>
    <w:rPr>
      <w:rFonts w:hint="default" w:ascii="Calibri" w:hAnsi="Calibri" w:cs="Calibri"/>
      <w:kern w:val="2"/>
      <w:sz w:val="21"/>
      <w:szCs w:val="22"/>
    </w:rPr>
  </w:style>
  <w:style w:type="character" w:customStyle="1" w:styleId="36">
    <w:name w:val="批注框文本 Char1"/>
    <w:basedOn w:val="15"/>
    <w:link w:val="8"/>
    <w:qFormat/>
    <w:uiPriority w:val="0"/>
    <w:rPr>
      <w:rFonts w:hint="default" w:ascii="Calibri" w:hAnsi="Calibri" w:cs="Calibri"/>
      <w:kern w:val="2"/>
      <w:sz w:val="18"/>
      <w:szCs w:val="18"/>
    </w:rPr>
  </w:style>
  <w:style w:type="character" w:customStyle="1" w:styleId="37">
    <w:name w:val="font11"/>
    <w:basedOn w:val="15"/>
    <w:qFormat/>
    <w:uiPriority w:val="0"/>
    <w:rPr>
      <w:rFonts w:hint="eastAsia" w:ascii="宋体" w:hAnsi="宋体" w:eastAsia="宋体" w:cs="宋体"/>
      <w:color w:val="000000"/>
      <w:sz w:val="18"/>
      <w:szCs w:val="18"/>
      <w:u w:val="none"/>
    </w:rPr>
  </w:style>
  <w:style w:type="character" w:customStyle="1" w:styleId="38">
    <w:name w:val="font01"/>
    <w:basedOn w:val="15"/>
    <w:qFormat/>
    <w:uiPriority w:val="0"/>
    <w:rPr>
      <w:rFonts w:hint="eastAsia" w:ascii="宋体" w:hAnsi="宋体" w:eastAsia="宋体" w:cs="宋体"/>
      <w:i/>
      <w:color w:val="000000"/>
      <w:sz w:val="18"/>
      <w:szCs w:val="18"/>
      <w:u w:val="none"/>
    </w:rPr>
  </w:style>
  <w:style w:type="character" w:customStyle="1" w:styleId="39">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11</TotalTime>
  <ScaleCrop>false</ScaleCrop>
  <LinksUpToDate>false</LinksUpToDate>
  <CharactersWithSpaces>14081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2017-05-24T08:56:00Z</cp:lastPrinted>
  <dcterms:modified xsi:type="dcterms:W3CDTF">2021-05-17T09:34:53Z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390BB3E5137846279695D703DF0D40BD</vt:lpwstr>
  </property>
  <property fmtid="{D5CDD505-2E9C-101B-9397-08002B2CF9AE}" pid="4" name="KSOSaveFontToCloudKey">
    <vt:lpwstr>500924187_cloud</vt:lpwstr>
  </property>
</Properties>
</file>