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rPr>
        <w:t>重庆对外建设（集团）有限公司</w:t>
      </w:r>
    </w:p>
    <w:p>
      <w:pPr>
        <w:tabs>
          <w:tab w:val="left" w:pos="670"/>
          <w:tab w:val="center" w:pos="4252"/>
        </w:tabs>
        <w:spacing w:line="360" w:lineRule="auto"/>
        <w:jc w:val="center"/>
        <w:rPr>
          <w:rFonts w:hint="eastAsia" w:ascii="黑体" w:hAnsi="宋体" w:eastAsia="黑体"/>
          <w:b/>
          <w:sz w:val="44"/>
          <w:szCs w:val="44"/>
          <w:highlight w:val="none"/>
        </w:rPr>
      </w:pPr>
      <w:r>
        <w:rPr>
          <w:rFonts w:hint="eastAsia" w:ascii="黑体" w:hAnsi="宋体" w:eastAsia="黑体"/>
          <w:b/>
          <w:sz w:val="44"/>
          <w:szCs w:val="44"/>
          <w:highlight w:val="none"/>
        </w:rPr>
        <w:t>满洲里国门党建学院二期项目新建楼主体</w:t>
      </w:r>
    </w:p>
    <w:p>
      <w:pPr>
        <w:tabs>
          <w:tab w:val="left" w:pos="670"/>
          <w:tab w:val="center" w:pos="4252"/>
        </w:tabs>
        <w:spacing w:line="360" w:lineRule="auto"/>
        <w:jc w:val="center"/>
        <w:rPr>
          <w:rFonts w:ascii="宋体" w:hAnsi="宋体" w:eastAsia="宋体" w:cs="宋体"/>
          <w:i/>
          <w:sz w:val="96"/>
          <w:szCs w:val="96"/>
          <w:highlight w:val="none"/>
        </w:rPr>
      </w:pPr>
      <w:r>
        <w:rPr>
          <w:rFonts w:hint="eastAsia" w:ascii="黑体" w:hAnsi="宋体" w:eastAsia="黑体"/>
          <w:b/>
          <w:sz w:val="44"/>
          <w:szCs w:val="44"/>
          <w:highlight w:val="none"/>
        </w:rPr>
        <w:t>劳务分包</w:t>
      </w: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企业内部</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招采文件</w:t>
      </w: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center"/>
        <w:rPr>
          <w:rFonts w:ascii="宋体" w:hAnsi="宋体" w:eastAsia="宋体" w:cs="宋体"/>
          <w:sz w:val="96"/>
          <w:szCs w:val="96"/>
          <w:highlight w:val="none"/>
        </w:rPr>
      </w:pPr>
    </w:p>
    <w:p>
      <w:pPr>
        <w:spacing w:line="360" w:lineRule="auto"/>
        <w:ind w:firstLine="1680" w:firstLineChars="600"/>
        <w:rPr>
          <w:rFonts w:hint="default" w:ascii="宋体" w:hAnsi="宋体" w:eastAsia="宋体" w:cs="宋体"/>
          <w:sz w:val="32"/>
          <w:szCs w:val="22"/>
          <w:highlight w:val="none"/>
          <w:u w:val="single"/>
          <w:lang w:val="en-US" w:eastAsia="zh-CN"/>
        </w:rPr>
      </w:pPr>
      <w:r>
        <w:rPr>
          <w:rFonts w:hint="eastAsia" w:ascii="宋体" w:hAnsi="宋体" w:eastAsia="宋体" w:cs="宋体"/>
          <w:sz w:val="28"/>
          <w:szCs w:val="22"/>
          <w:highlight w:val="none"/>
        </w:rPr>
        <w:t xml:space="preserve"> 招采文件编号：</w:t>
      </w:r>
      <w:r>
        <w:rPr>
          <w:rFonts w:hint="eastAsia" w:ascii="宋体" w:hAnsi="宋体" w:eastAsia="宋体" w:cs="宋体"/>
          <w:sz w:val="28"/>
          <w:szCs w:val="22"/>
          <w:highlight w:val="none"/>
          <w:lang w:val="en-US" w:eastAsia="zh-CN"/>
        </w:rPr>
        <w:t>2021-02-001</w:t>
      </w:r>
    </w:p>
    <w:p>
      <w:pPr>
        <w:spacing w:line="360" w:lineRule="auto"/>
        <w:rPr>
          <w:rFonts w:ascii="宋体" w:hAnsi="宋体" w:eastAsia="宋体" w:cs="宋体"/>
          <w:highlight w:val="none"/>
        </w:rPr>
      </w:pPr>
    </w:p>
    <w:p>
      <w:pPr>
        <w:spacing w:line="360" w:lineRule="auto"/>
        <w:rPr>
          <w:rFonts w:ascii="宋体" w:hAnsi="宋体" w:eastAsia="宋体" w:cs="宋体"/>
          <w:b/>
          <w:sz w:val="84"/>
          <w:szCs w:val="22"/>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2021</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25</w:t>
      </w:r>
      <w:r>
        <w:rPr>
          <w:rFonts w:hint="eastAsia" w:ascii="宋体" w:hAnsi="宋体" w:eastAsia="宋体" w:cs="宋体"/>
          <w:sz w:val="28"/>
          <w:szCs w:val="28"/>
          <w:highlight w:val="none"/>
        </w:rPr>
        <w:t>日</w:t>
      </w:r>
    </w:p>
    <w:p>
      <w:pPr>
        <w:snapToGrid w:val="0"/>
        <w:spacing w:line="640" w:lineRule="exact"/>
        <w:jc w:val="center"/>
        <w:rPr>
          <w:rFonts w:ascii="宋体" w:hAnsi="宋体" w:eastAsia="宋体" w:cs="宋体"/>
          <w:b/>
          <w:sz w:val="30"/>
          <w:szCs w:val="22"/>
          <w:highlight w:val="none"/>
        </w:rPr>
      </w:pPr>
      <w:r>
        <w:rPr>
          <w:rFonts w:hint="eastAsia" w:ascii="宋体" w:hAnsi="宋体" w:eastAsia="宋体" w:cs="Times New Roman"/>
          <w:b/>
          <w:sz w:val="30"/>
          <w:szCs w:val="22"/>
          <w:highlight w:val="none"/>
        </w:rPr>
        <w:br w:type="page"/>
      </w:r>
      <w:r>
        <w:rPr>
          <w:rFonts w:hint="eastAsia" w:ascii="宋体" w:hAnsi="宋体" w:eastAsia="宋体" w:cs="宋体"/>
          <w:b/>
          <w:sz w:val="30"/>
          <w:szCs w:val="22"/>
          <w:highlight w:val="none"/>
        </w:rPr>
        <w:t>目   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第一部分   投标邀请</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第三部分   评审办法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 xml:space="preserve">第四部分  </w:t>
      </w:r>
      <w:r>
        <w:rPr>
          <w:rFonts w:hint="eastAsia" w:ascii="宋体" w:hAnsi="宋体" w:eastAsia="宋体" w:cs="宋体"/>
          <w:sz w:val="28"/>
          <w:szCs w:val="22"/>
          <w:highlight w:val="none"/>
          <w:lang w:val="en-US" w:eastAsia="zh-CN"/>
        </w:rPr>
        <w:t xml:space="preserve"> </w:t>
      </w:r>
      <w:r>
        <w:rPr>
          <w:rFonts w:hint="eastAsia" w:ascii="宋体" w:hAnsi="宋体" w:eastAsia="宋体" w:cs="宋体"/>
          <w:sz w:val="28"/>
          <w:szCs w:val="22"/>
          <w:highlight w:val="none"/>
        </w:rPr>
        <w:t>投标人须知</w:t>
      </w:r>
    </w:p>
    <w:p>
      <w:pPr>
        <w:snapToGrid w:val="0"/>
        <w:spacing w:line="640" w:lineRule="exact"/>
        <w:rPr>
          <w:rFonts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二、    招采文件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三、    投标文件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四、    投标文件的递交</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五、    开标及评审</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六、    中选及合同签订</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第五部分  合同范本</w:t>
      </w:r>
    </w:p>
    <w:p>
      <w:pPr>
        <w:snapToGrid w:val="0"/>
        <w:spacing w:line="640" w:lineRule="exact"/>
        <w:ind w:firstLine="560" w:firstLineChars="200"/>
        <w:rPr>
          <w:rFonts w:ascii="宋体" w:hAnsi="宋体" w:eastAsia="宋体" w:cs="宋体"/>
          <w:highlight w:val="none"/>
        </w:rPr>
      </w:pPr>
      <w:r>
        <w:rPr>
          <w:rFonts w:hint="eastAsia" w:ascii="宋体" w:hAnsi="宋体" w:eastAsia="宋体" w:cs="宋体"/>
          <w:sz w:val="28"/>
          <w:szCs w:val="22"/>
          <w:highlight w:val="none"/>
        </w:rPr>
        <w:t>第六部分  附表</w:t>
      </w: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hint="eastAsia" w:ascii="宋体" w:hAnsi="宋体" w:eastAsia="宋体" w:cs="宋体"/>
          <w:b/>
          <w:sz w:val="30"/>
          <w:szCs w:val="22"/>
          <w:highlight w:val="none"/>
        </w:rPr>
      </w:pPr>
      <w:r>
        <w:rPr>
          <w:rFonts w:hint="eastAsia" w:ascii="宋体" w:hAnsi="宋体" w:eastAsia="宋体" w:cs="宋体"/>
          <w:b/>
          <w:sz w:val="30"/>
          <w:szCs w:val="22"/>
          <w:highlight w:val="none"/>
        </w:rPr>
        <w:br w:type="page"/>
      </w:r>
    </w:p>
    <w:p>
      <w:pPr>
        <w:snapToGrid w:val="0"/>
        <w:spacing w:line="360" w:lineRule="auto"/>
        <w:jc w:val="center"/>
        <w:rPr>
          <w:rFonts w:ascii="宋体" w:hAnsi="宋体" w:eastAsia="宋体" w:cs="宋体"/>
          <w:b/>
          <w:sz w:val="30"/>
          <w:szCs w:val="22"/>
          <w:highlight w:val="none"/>
        </w:rPr>
      </w:pPr>
      <w:r>
        <w:rPr>
          <w:rFonts w:hint="eastAsia" w:ascii="宋体" w:hAnsi="宋体" w:eastAsia="宋体" w:cs="宋体"/>
          <w:b/>
          <w:sz w:val="30"/>
          <w:szCs w:val="22"/>
          <w:highlight w:val="none"/>
        </w:rPr>
        <w:t>第一部分</w:t>
      </w:r>
      <w:r>
        <w:rPr>
          <w:rFonts w:hint="eastAsia" w:ascii="宋体" w:hAnsi="宋体" w:eastAsia="宋体" w:cs="宋体"/>
          <w:b/>
          <w:sz w:val="30"/>
          <w:szCs w:val="22"/>
          <w:highlight w:val="none"/>
          <w:lang w:val="en-US" w:eastAsia="zh-CN"/>
        </w:rPr>
        <w:t xml:space="preserve">  </w:t>
      </w:r>
      <w:r>
        <w:rPr>
          <w:rFonts w:hint="eastAsia" w:ascii="宋体" w:hAnsi="宋体" w:eastAsia="宋体" w:cs="宋体"/>
          <w:b/>
          <w:sz w:val="30"/>
          <w:szCs w:val="22"/>
          <w:highlight w:val="none"/>
        </w:rPr>
        <w:t>投标邀请</w:t>
      </w:r>
    </w:p>
    <w:p>
      <w:pPr>
        <w:snapToGrid w:val="0"/>
        <w:spacing w:line="360" w:lineRule="auto"/>
        <w:ind w:firstLine="560" w:firstLineChars="200"/>
        <w:rPr>
          <w:rFonts w:ascii="宋体" w:hAnsi="宋体" w:eastAsia="宋体" w:cs="宋体"/>
          <w:sz w:val="28"/>
          <w:szCs w:val="22"/>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sz w:val="28"/>
          <w:szCs w:val="22"/>
          <w:highlight w:val="none"/>
        </w:rPr>
        <w:t>重庆对外建设（集团）有限公司就</w:t>
      </w:r>
      <w:r>
        <w:rPr>
          <w:rFonts w:hint="eastAsia" w:ascii="宋体" w:hAnsi="宋体" w:cs="宋体"/>
          <w:sz w:val="28"/>
          <w:highlight w:val="none"/>
          <w:u w:val="single"/>
          <w:lang w:val="en-US" w:eastAsia="zh-CN"/>
        </w:rPr>
        <w:t>满洲里国门党建学院二期项目新建楼主体劳务分包</w:t>
      </w:r>
      <w:r>
        <w:rPr>
          <w:rFonts w:hint="eastAsia" w:ascii="宋体" w:hAnsi="宋体" w:eastAsia="宋体" w:cs="宋体"/>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项目名称：</w:t>
      </w:r>
      <w:r>
        <w:rPr>
          <w:rFonts w:hint="eastAsia" w:ascii="宋体" w:hAnsi="宋体" w:cs="宋体"/>
          <w:sz w:val="28"/>
          <w:highlight w:val="none"/>
          <w:u w:val="single"/>
          <w:lang w:val="en-US" w:eastAsia="zh-CN"/>
        </w:rPr>
        <w:t>满洲里国门党建学院二期项目新建楼主体劳务分包。</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招采文件编号：</w:t>
      </w:r>
      <w:r>
        <w:rPr>
          <w:rFonts w:hint="eastAsia" w:ascii="宋体" w:hAnsi="宋体" w:eastAsia="宋体" w:cs="宋体"/>
          <w:bCs/>
          <w:sz w:val="28"/>
          <w:szCs w:val="22"/>
          <w:highlight w:val="none"/>
          <w:u w:val="single"/>
          <w:lang w:val="en-US" w:eastAsia="zh-CN"/>
        </w:rPr>
        <w:t>2021-02-001</w:t>
      </w:r>
      <w:r>
        <w:rPr>
          <w:rFonts w:hint="eastAsia" w:ascii="Calibri" w:hAnsi="Calibri" w:eastAsia="华文仿宋" w:cs="华文仿宋"/>
          <w:sz w:val="28"/>
          <w:szCs w:val="28"/>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工程建设地点：</w:t>
      </w:r>
      <w:r>
        <w:rPr>
          <w:rFonts w:hint="eastAsia" w:ascii="宋体" w:hAnsi="宋体"/>
          <w:bCs/>
          <w:sz w:val="28"/>
          <w:highlight w:val="none"/>
          <w:u w:val="single"/>
          <w:lang w:val="en-US" w:eastAsia="zh-CN"/>
        </w:rPr>
        <w:t xml:space="preserve">满洲里产业园区内，产业大街1号产业大厦，骏业路东，产业大街北 </w:t>
      </w:r>
      <w:r>
        <w:rPr>
          <w:rFonts w:hint="eastAsia" w:ascii="宋体" w:hAnsi="宋体" w:eastAsia="宋体" w:cs="宋体"/>
          <w:bCs/>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u w:val="single"/>
        </w:rPr>
      </w:pPr>
      <w:r>
        <w:rPr>
          <w:rFonts w:hint="eastAsia" w:ascii="宋体" w:hAnsi="宋体" w:eastAsia="宋体" w:cs="宋体"/>
          <w:bCs/>
          <w:sz w:val="28"/>
          <w:szCs w:val="22"/>
          <w:highlight w:val="none"/>
          <w:lang w:eastAsia="zh-CN"/>
        </w:rPr>
        <w:t>投标人资质要求：</w:t>
      </w:r>
      <w:r>
        <w:rPr>
          <w:rFonts w:hint="eastAsia" w:ascii="宋体" w:hAnsi="宋体" w:eastAsia="宋体" w:cs="宋体"/>
          <w:bCs/>
          <w:sz w:val="28"/>
          <w:szCs w:val="22"/>
          <w:highlight w:val="none"/>
          <w:u w:val="single"/>
        </w:rPr>
        <w:t>必须是重庆对外建设（集团）有限公司合格供方库内单位，且无失信记录</w:t>
      </w:r>
      <w:r>
        <w:rPr>
          <w:rFonts w:hint="eastAsia" w:ascii="宋体" w:hAnsi="宋体" w:eastAsia="宋体" w:cs="宋体"/>
          <w:bCs/>
          <w:sz w:val="28"/>
          <w:szCs w:val="22"/>
          <w:highlight w:val="none"/>
          <w:u w:val="single"/>
          <w:lang w:eastAsia="zh-CN"/>
        </w:rPr>
        <w:t>；</w:t>
      </w:r>
      <w:r>
        <w:rPr>
          <w:rFonts w:hint="eastAsia" w:ascii="宋体" w:hAnsi="宋体" w:eastAsia="宋体" w:cs="宋体"/>
          <w:bCs/>
          <w:sz w:val="28"/>
          <w:szCs w:val="22"/>
          <w:highlight w:val="none"/>
          <w:u w:val="single"/>
        </w:rPr>
        <w:t>具有建设行政管理部门批准的劳务分包资质</w:t>
      </w:r>
      <w:r>
        <w:rPr>
          <w:rFonts w:hint="eastAsia" w:ascii="宋体" w:hAnsi="宋体" w:eastAsia="宋体" w:cs="宋体"/>
          <w:bCs/>
          <w:sz w:val="28"/>
          <w:szCs w:val="22"/>
          <w:highlight w:val="none"/>
          <w:u w:val="single"/>
          <w:lang w:eastAsia="zh-CN"/>
        </w:rPr>
        <w:t>；</w:t>
      </w:r>
      <w:r>
        <w:rPr>
          <w:rFonts w:hint="eastAsia" w:ascii="宋体" w:hAnsi="宋体" w:eastAsia="宋体" w:cs="宋体"/>
          <w:bCs/>
          <w:color w:val="auto"/>
          <w:kern w:val="2"/>
          <w:sz w:val="28"/>
          <w:szCs w:val="22"/>
          <w:highlight w:val="none"/>
          <w:u w:val="single"/>
        </w:rPr>
        <w:t>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6、招采文件发放时间：</w:t>
      </w:r>
      <w:r>
        <w:rPr>
          <w:rFonts w:hint="eastAsia" w:ascii="宋体" w:hAnsi="宋体" w:eastAsia="宋体" w:cs="宋体"/>
          <w:bCs/>
          <w:sz w:val="28"/>
          <w:szCs w:val="22"/>
          <w:highlight w:val="none"/>
          <w:u w:val="single"/>
          <w:lang w:val="en-US" w:eastAsia="zh-CN"/>
        </w:rPr>
        <w:t>2021</w:t>
      </w:r>
      <w:r>
        <w:rPr>
          <w:rFonts w:hint="eastAsia" w:ascii="宋体" w:hAnsi="宋体" w:eastAsia="宋体" w:cs="宋体"/>
          <w:bCs/>
          <w:sz w:val="28"/>
          <w:szCs w:val="22"/>
          <w:highlight w:val="none"/>
          <w:u w:val="single"/>
        </w:rPr>
        <w:t>年</w:t>
      </w:r>
      <w:r>
        <w:rPr>
          <w:rFonts w:hint="eastAsia" w:ascii="宋体" w:hAnsi="宋体" w:eastAsia="宋体" w:cs="宋体"/>
          <w:bCs/>
          <w:sz w:val="28"/>
          <w:szCs w:val="22"/>
          <w:highlight w:val="none"/>
          <w:u w:val="single"/>
          <w:lang w:val="en-US" w:eastAsia="zh-CN"/>
        </w:rPr>
        <w:t>5</w:t>
      </w:r>
      <w:r>
        <w:rPr>
          <w:rFonts w:hint="eastAsia" w:ascii="宋体" w:hAnsi="宋体" w:eastAsia="宋体" w:cs="宋体"/>
          <w:bCs/>
          <w:sz w:val="28"/>
          <w:szCs w:val="22"/>
          <w:highlight w:val="none"/>
          <w:u w:val="single"/>
        </w:rPr>
        <w:t>月</w:t>
      </w:r>
      <w:r>
        <w:rPr>
          <w:rFonts w:hint="eastAsia" w:ascii="宋体" w:hAnsi="宋体" w:eastAsia="宋体" w:cs="宋体"/>
          <w:bCs/>
          <w:sz w:val="28"/>
          <w:szCs w:val="22"/>
          <w:highlight w:val="none"/>
          <w:u w:val="single"/>
          <w:lang w:val="en-US" w:eastAsia="zh-CN"/>
        </w:rPr>
        <w:t>26</w:t>
      </w:r>
      <w:r>
        <w:rPr>
          <w:rFonts w:hint="eastAsia" w:ascii="宋体" w:hAnsi="宋体" w:eastAsia="宋体" w:cs="宋体"/>
          <w:bCs/>
          <w:sz w:val="28"/>
          <w:szCs w:val="22"/>
          <w:highlight w:val="none"/>
          <w:u w:val="single"/>
        </w:rPr>
        <w:t>日</w:t>
      </w:r>
      <w:r>
        <w:rPr>
          <w:rFonts w:hint="eastAsia" w:ascii="宋体" w:hAnsi="宋体" w:eastAsia="宋体" w:cs="宋体"/>
          <w:bCs/>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8</w:t>
      </w:r>
      <w:r>
        <w:rPr>
          <w:rFonts w:hint="eastAsia" w:ascii="宋体" w:hAnsi="宋体" w:eastAsia="宋体" w:cs="宋体"/>
          <w:bCs/>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9</w:t>
      </w:r>
      <w:r>
        <w:rPr>
          <w:rFonts w:hint="eastAsia" w:ascii="宋体" w:hAnsi="宋体" w:eastAsia="宋体" w:cs="宋体"/>
          <w:bCs/>
          <w:sz w:val="28"/>
          <w:szCs w:val="22"/>
          <w:highlight w:val="none"/>
        </w:rPr>
        <w:t>、开标时间、地点：详见《投标人须知前附表》。逾期递交投标文件或递交不符合规定的投标文件恕不接受。届时请参加投标的授权代表在递交标书时带上法定代表人资格证明书</w:t>
      </w:r>
      <w:r>
        <w:rPr>
          <w:rFonts w:hint="eastAsia" w:ascii="宋体" w:hAnsi="宋体" w:eastAsia="宋体" w:cs="宋体"/>
          <w:bCs/>
          <w:sz w:val="28"/>
          <w:szCs w:val="22"/>
          <w:highlight w:val="none"/>
          <w:lang w:eastAsia="zh-CN"/>
        </w:rPr>
        <w:t>及法定代表人</w:t>
      </w:r>
      <w:r>
        <w:rPr>
          <w:rFonts w:hint="eastAsia" w:ascii="宋体" w:hAnsi="宋体" w:eastAsia="宋体" w:cs="宋体"/>
          <w:bCs/>
          <w:sz w:val="28"/>
          <w:szCs w:val="22"/>
          <w:highlight w:val="none"/>
        </w:rPr>
        <w:t>授权书和身份证（原件），现场查验；由法人代表递交投标文件的带上法定代表人资格证明书和身份证（原件）。</w:t>
      </w:r>
    </w:p>
    <w:p>
      <w:pPr>
        <w:snapToGrid w:val="0"/>
        <w:spacing w:line="360" w:lineRule="auto"/>
        <w:ind w:firstLine="560" w:firstLineChars="200"/>
        <w:rPr>
          <w:rFonts w:ascii="宋体" w:hAnsi="宋体" w:eastAsia="宋体" w:cs="宋体"/>
          <w:bCs/>
          <w:sz w:val="28"/>
          <w:szCs w:val="22"/>
          <w:highlight w:val="none"/>
        </w:rPr>
      </w:pPr>
    </w:p>
    <w:p>
      <w:pPr>
        <w:snapToGrid w:val="0"/>
        <w:spacing w:line="360" w:lineRule="auto"/>
        <w:ind w:firstLine="560" w:firstLineChars="200"/>
        <w:rPr>
          <w:rFonts w:ascii="宋体" w:hAnsi="宋体" w:eastAsia="宋体" w:cs="宋体"/>
          <w:bCs/>
          <w:sz w:val="28"/>
          <w:szCs w:val="22"/>
          <w:highlight w:val="none"/>
        </w:rPr>
      </w:pPr>
      <w:r>
        <w:rPr>
          <w:rFonts w:hint="eastAsia" w:ascii="宋体" w:hAnsi="宋体" w:eastAsia="宋体" w:cs="宋体"/>
          <w:bCs/>
          <w:sz w:val="28"/>
          <w:szCs w:val="22"/>
          <w:highlight w:val="none"/>
        </w:rPr>
        <w:t xml:space="preserve">                         招采人：</w:t>
      </w:r>
      <w:r>
        <w:rPr>
          <w:rFonts w:hint="eastAsia" w:ascii="宋体" w:hAnsi="宋体" w:eastAsia="宋体" w:cs="宋体"/>
          <w:sz w:val="28"/>
          <w:szCs w:val="22"/>
          <w:highlight w:val="none"/>
          <w:u w:val="single"/>
        </w:rPr>
        <w:t>重庆对外建设（集团）有限公司</w:t>
      </w:r>
    </w:p>
    <w:p>
      <w:pPr>
        <w:snapToGrid w:val="0"/>
        <w:spacing w:line="36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 xml:space="preserve">                             日  期：</w:t>
      </w:r>
      <w:r>
        <w:rPr>
          <w:rFonts w:hint="eastAsia" w:ascii="宋体" w:hAnsi="宋体" w:eastAsia="宋体" w:cs="宋体"/>
          <w:sz w:val="28"/>
          <w:szCs w:val="22"/>
          <w:highlight w:val="none"/>
          <w:u w:val="single"/>
          <w:lang w:val="en-US" w:eastAsia="zh-CN"/>
        </w:rPr>
        <w:t>2021</w:t>
      </w:r>
      <w:r>
        <w:rPr>
          <w:rFonts w:hint="eastAsia" w:ascii="宋体" w:hAnsi="宋体" w:eastAsia="宋体" w:cs="宋体"/>
          <w:sz w:val="28"/>
          <w:szCs w:val="22"/>
          <w:highlight w:val="none"/>
          <w:u w:val="single"/>
        </w:rPr>
        <w:t>年</w:t>
      </w:r>
      <w:r>
        <w:rPr>
          <w:rFonts w:hint="eastAsia" w:ascii="宋体" w:hAnsi="宋体" w:eastAsia="宋体" w:cs="宋体"/>
          <w:sz w:val="28"/>
          <w:szCs w:val="22"/>
          <w:highlight w:val="none"/>
          <w:u w:val="single"/>
          <w:lang w:val="en-US" w:eastAsia="zh-CN"/>
        </w:rPr>
        <w:t>5</w:t>
      </w:r>
      <w:r>
        <w:rPr>
          <w:rFonts w:hint="eastAsia" w:ascii="宋体" w:hAnsi="宋体" w:eastAsia="宋体" w:cs="宋体"/>
          <w:sz w:val="28"/>
          <w:szCs w:val="22"/>
          <w:highlight w:val="none"/>
          <w:u w:val="single"/>
        </w:rPr>
        <w:t>月</w:t>
      </w:r>
      <w:r>
        <w:rPr>
          <w:rFonts w:hint="eastAsia" w:ascii="宋体" w:hAnsi="宋体" w:eastAsia="宋体" w:cs="宋体"/>
          <w:sz w:val="28"/>
          <w:szCs w:val="22"/>
          <w:highlight w:val="none"/>
          <w:u w:val="single"/>
          <w:lang w:val="en-US" w:eastAsia="zh-CN"/>
        </w:rPr>
        <w:t>26</w:t>
      </w:r>
      <w:r>
        <w:rPr>
          <w:rFonts w:hint="eastAsia" w:ascii="宋体" w:hAnsi="宋体" w:eastAsia="宋体" w:cs="宋体"/>
          <w:sz w:val="28"/>
          <w:szCs w:val="22"/>
          <w:highlight w:val="none"/>
          <w:u w:val="single"/>
        </w:rPr>
        <w:t xml:space="preserve">日  </w:t>
      </w:r>
    </w:p>
    <w:p>
      <w:pPr>
        <w:snapToGrid w:val="0"/>
        <w:spacing w:line="36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p>
    <w:p>
      <w:pPr>
        <w:snapToGrid w:val="0"/>
        <w:spacing w:line="560" w:lineRule="exact"/>
        <w:jc w:val="center"/>
        <w:rPr>
          <w:rFonts w:ascii="宋体" w:hAnsi="宋体" w:eastAsia="宋体" w:cs="宋体"/>
          <w:b/>
          <w:sz w:val="30"/>
          <w:szCs w:val="22"/>
          <w:highlight w:val="none"/>
        </w:rPr>
      </w:pPr>
      <w:r>
        <w:rPr>
          <w:rFonts w:hint="eastAsia" w:ascii="宋体" w:hAnsi="宋体" w:eastAsia="宋体" w:cs="宋体"/>
          <w:sz w:val="28"/>
          <w:szCs w:val="22"/>
          <w:highlight w:val="none"/>
        </w:rPr>
        <w:t xml:space="preserve">           联系方式：</w:t>
      </w:r>
      <w:r>
        <w:rPr>
          <w:rFonts w:hint="eastAsia" w:ascii="宋体" w:hAnsi="宋体" w:eastAsia="宋体" w:cs="宋体"/>
          <w:sz w:val="28"/>
          <w:szCs w:val="22"/>
          <w:highlight w:val="none"/>
          <w:u w:val="single"/>
        </w:rPr>
        <w:t>023-</w:t>
      </w:r>
      <w:r>
        <w:rPr>
          <w:rFonts w:hint="eastAsia" w:ascii="宋体" w:hAnsi="宋体" w:eastAsia="宋体" w:cs="宋体"/>
          <w:sz w:val="28"/>
          <w:szCs w:val="22"/>
          <w:highlight w:val="none"/>
          <w:u w:val="single"/>
          <w:lang w:eastAsia="zh-CN"/>
        </w:rPr>
        <w:t>63076532</w:t>
      </w:r>
      <w:r>
        <w:rPr>
          <w:rFonts w:hint="eastAsia" w:ascii="宋体" w:hAnsi="宋体" w:eastAsia="宋体" w:cs="宋体"/>
          <w:sz w:val="28"/>
          <w:szCs w:val="22"/>
          <w:highlight w:val="none"/>
        </w:rPr>
        <w:br w:type="page"/>
      </w:r>
      <w:r>
        <w:rPr>
          <w:rFonts w:hint="eastAsia" w:ascii="宋体" w:hAnsi="宋体" w:eastAsia="宋体" w:cs="宋体"/>
          <w:b/>
          <w:sz w:val="30"/>
          <w:szCs w:val="22"/>
          <w:highlight w:val="none"/>
        </w:rPr>
        <w:t>第二部分   投标人须知前附表</w:t>
      </w:r>
    </w:p>
    <w:tbl>
      <w:tblPr>
        <w:tblStyle w:val="12"/>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178"/>
        <w:gridCol w:w="6886"/>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序号</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内    容</w:t>
            </w:r>
          </w:p>
        </w:tc>
        <w:tc>
          <w:tcPr>
            <w:tcW w:w="688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1</w:t>
            </w:r>
          </w:p>
        </w:tc>
        <w:tc>
          <w:tcPr>
            <w:tcW w:w="2178"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工程名称</w:t>
            </w:r>
          </w:p>
        </w:tc>
        <w:tc>
          <w:tcPr>
            <w:tcW w:w="6886"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满洲里国门党建学院二期项目新建楼主体劳务分包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2</w:t>
            </w:r>
          </w:p>
        </w:tc>
        <w:tc>
          <w:tcPr>
            <w:tcW w:w="2178"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工程地点</w:t>
            </w:r>
          </w:p>
        </w:tc>
        <w:tc>
          <w:tcPr>
            <w:tcW w:w="6886"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6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满洲里产业园区内，产业大街1号产业大厦，骏业路东，产业大街北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3</w:t>
            </w:r>
          </w:p>
        </w:tc>
        <w:tc>
          <w:tcPr>
            <w:tcW w:w="2178"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工程规模</w:t>
            </w:r>
          </w:p>
        </w:tc>
        <w:tc>
          <w:tcPr>
            <w:tcW w:w="6886"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6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建设面积为10000平方米的业务培训综合楼及其配套附属设施，改造面积为18000平方米的满洲里新国际货场联检综合楼。具体工程量详见工程量清单及施工图纸。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4</w:t>
            </w:r>
          </w:p>
        </w:tc>
        <w:tc>
          <w:tcPr>
            <w:tcW w:w="2178"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投标性质</w:t>
            </w:r>
          </w:p>
        </w:tc>
        <w:tc>
          <w:tcPr>
            <w:tcW w:w="6886"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6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资金来源为：申请地方债券、财政资金以及其他配套资金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5</w:t>
            </w:r>
          </w:p>
        </w:tc>
        <w:tc>
          <w:tcPr>
            <w:tcW w:w="2178"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投标人要求</w:t>
            </w:r>
          </w:p>
        </w:tc>
        <w:tc>
          <w:tcPr>
            <w:tcW w:w="6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line="460" w:lineRule="exact"/>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必须是重庆对外建设（集团）有限公司合格供方库内单位，且无失信记录。</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具有建</w:t>
            </w:r>
            <w:r>
              <w:rPr>
                <w:rFonts w:hint="eastAsia" w:ascii="宋体" w:hAnsi="宋体" w:eastAsia="宋体" w:cs="宋体"/>
                <w:sz w:val="24"/>
                <w:highlight w:val="none"/>
                <w:lang w:eastAsia="zh-CN"/>
              </w:rPr>
              <w:t>设</w:t>
            </w:r>
            <w:r>
              <w:rPr>
                <w:rFonts w:hint="eastAsia" w:ascii="宋体" w:hAnsi="宋体" w:eastAsia="宋体" w:cs="宋体"/>
                <w:sz w:val="24"/>
                <w:highlight w:val="none"/>
              </w:rPr>
              <w:t>行政管理部门批准的劳务分包资质。</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6</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招采范围</w:t>
            </w:r>
          </w:p>
        </w:tc>
        <w:tc>
          <w:tcPr>
            <w:tcW w:w="6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60" w:lineRule="exact"/>
              <w:jc w:val="left"/>
              <w:textAlignment w:val="auto"/>
              <w:rPr>
                <w:rFonts w:ascii="宋体" w:hAnsi="宋体" w:eastAsia="宋体" w:cs="宋体"/>
                <w:sz w:val="24"/>
                <w:highlight w:val="none"/>
              </w:rPr>
            </w:pPr>
            <w:r>
              <w:rPr>
                <w:rFonts w:hint="eastAsia" w:ascii="宋体" w:hAnsi="宋体" w:eastAsia="宋体" w:cs="宋体"/>
                <w:sz w:val="24"/>
                <w:highlight w:val="none"/>
                <w:lang w:eastAsia="zh-CN"/>
              </w:rPr>
              <w:t>满洲里国门党建学院二期项目新建楼主体劳务分包</w:t>
            </w:r>
            <w:r>
              <w:rPr>
                <w:rFonts w:hint="eastAsia" w:ascii="宋体" w:hAnsi="宋体" w:eastAsia="宋体" w:cs="宋体"/>
                <w:sz w:val="24"/>
                <w:highlight w:val="none"/>
              </w:rPr>
              <w:t>，具体详见工程量清单及施工图纸。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7</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60" w:lineRule="exact"/>
              <w:jc w:val="left"/>
              <w:textAlignment w:val="auto"/>
              <w:rPr>
                <w:rFonts w:ascii="宋体" w:hAnsi="宋体" w:eastAsia="宋体" w:cs="宋体"/>
                <w:sz w:val="24"/>
                <w:highlight w:val="none"/>
              </w:rPr>
            </w:pPr>
            <w:r>
              <w:rPr>
                <w:rFonts w:hint="eastAsia" w:ascii="宋体" w:hAnsi="宋体" w:eastAsia="宋体" w:cs="宋体"/>
                <w:sz w:val="24"/>
                <w:highlight w:val="none"/>
                <w:lang w:val="en-US" w:eastAsia="zh-CN"/>
              </w:rPr>
              <w:t>本工程乙方必须按总包合同有关质量约定，并按照国家和地方政府颁布现行的《建筑工程安全技术规范》、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8</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rPr>
            </w:pPr>
            <w:r>
              <w:rPr>
                <w:rFonts w:hint="eastAsia" w:ascii="宋体" w:hAnsi="宋体" w:eastAsia="宋体" w:cs="宋体"/>
                <w:sz w:val="24"/>
                <w:highlight w:val="none"/>
              </w:rPr>
              <w:t>安全要求</w:t>
            </w:r>
          </w:p>
        </w:tc>
        <w:tc>
          <w:tcPr>
            <w:tcW w:w="6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9</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工期要求</w:t>
            </w:r>
          </w:p>
        </w:tc>
        <w:tc>
          <w:tcPr>
            <w:tcW w:w="6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60" w:lineRule="exact"/>
              <w:jc w:val="left"/>
              <w:textAlignment w:val="auto"/>
              <w:rPr>
                <w:rFonts w:ascii="宋体" w:hAnsi="宋体" w:eastAsia="宋体" w:cs="宋体"/>
                <w:sz w:val="24"/>
                <w:highlight w:val="none"/>
              </w:rPr>
            </w:pPr>
            <w:r>
              <w:rPr>
                <w:rFonts w:hint="eastAsia" w:ascii="宋体" w:hAnsi="宋体" w:eastAsia="宋体" w:cs="宋体"/>
                <w:sz w:val="24"/>
                <w:highlight w:val="none"/>
                <w:lang w:val="en-US" w:eastAsia="zh-CN"/>
              </w:rPr>
              <w:t>暂定120 天（以总包单位编排节点工期时间为准）。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10</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最高限价</w:t>
            </w:r>
          </w:p>
        </w:tc>
        <w:tc>
          <w:tcPr>
            <w:tcW w:w="6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暂定</w:t>
            </w:r>
            <w:r>
              <w:rPr>
                <w:rFonts w:hint="eastAsia" w:ascii="宋体" w:hAnsi="宋体" w:eastAsia="宋体" w:cs="宋体"/>
                <w:sz w:val="24"/>
                <w:highlight w:val="none"/>
                <w:lang w:val="en-US" w:eastAsia="zh-CN"/>
              </w:rPr>
              <w:t xml:space="preserve">6324540.85 </w:t>
            </w:r>
            <w:r>
              <w:rPr>
                <w:rFonts w:hint="eastAsia" w:ascii="宋体" w:hAnsi="宋体" w:eastAsia="宋体" w:cs="宋体"/>
                <w:sz w:val="24"/>
                <w:highlight w:val="none"/>
                <w:lang w:eastAsia="zh-CN"/>
              </w:rPr>
              <w:t>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11</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履约保证金</w:t>
            </w:r>
          </w:p>
        </w:tc>
        <w:tc>
          <w:tcPr>
            <w:tcW w:w="6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乙方向甲方缴纳1%的履约保证金；保证金退还：主体工程竣工验收合格（以验收文件的记载为准）且本合同项下劳务分包结算完成，经甲方审签确认后60日内，甲方不计息退还乙方履约保证金（扣除各种违约处罚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3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12</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报价范围及要求</w:t>
            </w:r>
          </w:p>
        </w:tc>
        <w:tc>
          <w:tcPr>
            <w:tcW w:w="6886"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autoSpaceDE/>
              <w:autoSpaceDN/>
              <w:bidi w:val="0"/>
              <w:adjustRightInd/>
              <w:spacing w:beforeLines="0" w:afterLines="0" w:line="460" w:lineRule="exact"/>
              <w:textAlignment w:val="auto"/>
              <w:rPr>
                <w:sz w:val="24"/>
                <w:szCs w:val="24"/>
                <w:highlight w:val="none"/>
              </w:rPr>
            </w:pPr>
            <w:r>
              <w:rPr>
                <w:rFonts w:ascii="Calibri" w:hAnsi="Calibri" w:eastAsia="宋体" w:cs="Times New Roman"/>
                <w:sz w:val="24"/>
                <w:szCs w:val="24"/>
                <w:highlight w:val="none"/>
              </w:rPr>
              <w:t>1</w:t>
            </w:r>
            <w:r>
              <w:rPr>
                <w:rFonts w:hint="eastAsia" w:ascii="Calibri" w:hAnsi="Calibri" w:eastAsia="宋体" w:cs="宋体"/>
                <w:sz w:val="24"/>
                <w:szCs w:val="24"/>
                <w:highlight w:val="none"/>
              </w:rPr>
              <w:t>报价范围</w:t>
            </w:r>
            <w:r>
              <w:rPr>
                <w:rFonts w:ascii="Calibri" w:hAnsi="Calibri" w:eastAsia="宋体" w:cs="Times New Roman"/>
                <w:sz w:val="24"/>
                <w:szCs w:val="24"/>
                <w:highlight w:val="none"/>
              </w:rPr>
              <w:t xml:space="preserve">: </w:t>
            </w:r>
          </w:p>
          <w:p>
            <w:pPr>
              <w:pStyle w:val="6"/>
              <w:keepNext w:val="0"/>
              <w:keepLines w:val="0"/>
              <w:pageBreakBefore w:val="0"/>
              <w:widowControl/>
              <w:kinsoku/>
              <w:wordWrap/>
              <w:overflowPunct/>
              <w:topLinePunct w:val="0"/>
              <w:autoSpaceDE/>
              <w:autoSpaceDN/>
              <w:bidi w:val="0"/>
              <w:adjustRightInd/>
              <w:spacing w:beforeLines="0" w:afterLines="0" w:line="460" w:lineRule="exact"/>
              <w:textAlignment w:val="auto"/>
              <w:rPr>
                <w:rFonts w:hint="eastAsia" w:ascii="Calibri" w:hAnsi="Calibri" w:eastAsia="宋体" w:cs="宋体"/>
                <w:sz w:val="24"/>
                <w:szCs w:val="24"/>
                <w:highlight w:val="none"/>
                <w:lang w:eastAsia="zh-CN"/>
              </w:rPr>
            </w:pPr>
            <w:r>
              <w:rPr>
                <w:rFonts w:hint="eastAsia" w:cs="宋体"/>
                <w:sz w:val="24"/>
                <w:szCs w:val="24"/>
                <w:highlight w:val="none"/>
                <w:lang w:eastAsia="zh-CN"/>
              </w:rPr>
              <w:t>满洲里国门党建学院二期项目新建楼主体劳务分包</w:t>
            </w:r>
            <w:r>
              <w:rPr>
                <w:rFonts w:hint="eastAsia" w:ascii="Calibri" w:hAnsi="Calibri" w:eastAsia="宋体" w:cs="宋体"/>
                <w:sz w:val="24"/>
                <w:szCs w:val="24"/>
                <w:highlight w:val="none"/>
              </w:rPr>
              <w:t>，具体详见工程量清单及施工图纸</w:t>
            </w:r>
            <w:r>
              <w:rPr>
                <w:rFonts w:hint="eastAsia" w:ascii="Calibri" w:hAnsi="Calibri" w:eastAsia="宋体" w:cs="宋体"/>
                <w:sz w:val="24"/>
                <w:szCs w:val="24"/>
                <w:highlight w:val="none"/>
                <w:lang w:eastAsia="zh-CN"/>
              </w:rPr>
              <w:t>。</w:t>
            </w:r>
          </w:p>
          <w:p>
            <w:pPr>
              <w:pStyle w:val="6"/>
              <w:keepNext w:val="0"/>
              <w:keepLines w:val="0"/>
              <w:pageBreakBefore w:val="0"/>
              <w:widowControl/>
              <w:kinsoku/>
              <w:wordWrap/>
              <w:overflowPunct/>
              <w:topLinePunct w:val="0"/>
              <w:autoSpaceDE/>
              <w:autoSpaceDN/>
              <w:bidi w:val="0"/>
              <w:adjustRightInd/>
              <w:spacing w:beforeLines="0" w:afterLines="0" w:line="460" w:lineRule="exact"/>
              <w:textAlignment w:val="auto"/>
              <w:rPr>
                <w:sz w:val="24"/>
                <w:szCs w:val="24"/>
                <w:highlight w:val="none"/>
              </w:rPr>
            </w:pPr>
            <w:r>
              <w:rPr>
                <w:rFonts w:ascii="Calibri" w:hAnsi="Calibri" w:eastAsia="宋体" w:cs="Times New Roman"/>
                <w:iCs/>
                <w:sz w:val="24"/>
                <w:szCs w:val="24"/>
                <w:highlight w:val="none"/>
              </w:rPr>
              <w:t>2</w:t>
            </w:r>
            <w:r>
              <w:rPr>
                <w:rFonts w:hint="eastAsia" w:ascii="Calibri" w:hAnsi="Calibri" w:eastAsia="宋体" w:cs="宋体"/>
                <w:sz w:val="24"/>
                <w:szCs w:val="24"/>
                <w:highlight w:val="none"/>
              </w:rPr>
              <w:t>工程报价</w:t>
            </w:r>
          </w:p>
          <w:p>
            <w:pPr>
              <w:pStyle w:val="6"/>
              <w:keepNext w:val="0"/>
              <w:keepLines w:val="0"/>
              <w:pageBreakBefore w:val="0"/>
              <w:widowControl/>
              <w:kinsoku/>
              <w:wordWrap/>
              <w:overflowPunct/>
              <w:topLinePunct w:val="0"/>
              <w:autoSpaceDE/>
              <w:autoSpaceDN/>
              <w:bidi w:val="0"/>
              <w:adjustRightInd/>
              <w:spacing w:beforeLines="0" w:afterLines="0" w:line="460" w:lineRule="exact"/>
              <w:textAlignment w:val="auto"/>
              <w:rPr>
                <w:rFonts w:hint="eastAsia" w:ascii="Calibri" w:hAnsi="Calibri" w:eastAsia="宋体" w:cs="宋体"/>
                <w:sz w:val="24"/>
                <w:szCs w:val="24"/>
                <w:highlight w:val="none"/>
                <w:lang w:eastAsia="zh-CN"/>
              </w:rPr>
            </w:pPr>
            <w:r>
              <w:rPr>
                <w:rFonts w:hint="eastAsia" w:ascii="Calibri" w:hAnsi="Calibri" w:eastAsia="宋体" w:cs="宋体"/>
                <w:sz w:val="24"/>
                <w:szCs w:val="24"/>
                <w:highlight w:val="none"/>
              </w:rPr>
              <w:t>分项报价表的编制根据能满足施工要求的施工图，按项目分类分别列项</w:t>
            </w:r>
            <w:r>
              <w:rPr>
                <w:rFonts w:hint="eastAsia" w:cs="宋体"/>
                <w:sz w:val="24"/>
                <w:szCs w:val="24"/>
                <w:highlight w:val="none"/>
                <w:lang w:eastAsia="zh-CN"/>
              </w:rPr>
              <w:t>，</w:t>
            </w:r>
            <w:r>
              <w:rPr>
                <w:rFonts w:hint="eastAsia" w:ascii="Calibri" w:hAnsi="Calibri" w:eastAsia="宋体" w:cs="宋体"/>
                <w:sz w:val="24"/>
                <w:szCs w:val="24"/>
                <w:highlight w:val="none"/>
              </w:rPr>
              <w:t>投标报价不得高于采购单位公布的最高限价且保留两位小数</w:t>
            </w:r>
            <w:r>
              <w:rPr>
                <w:rFonts w:hint="eastAsia" w:ascii="Calibri" w:hAnsi="Calibri" w:eastAsia="宋体" w:cs="宋体"/>
                <w:sz w:val="24"/>
                <w:szCs w:val="24"/>
                <w:highlight w:val="none"/>
                <w:lang w:eastAsia="zh-CN"/>
              </w:rPr>
              <w:t>。</w:t>
            </w:r>
          </w:p>
          <w:p>
            <w:pPr>
              <w:pStyle w:val="6"/>
              <w:keepNext w:val="0"/>
              <w:keepLines w:val="0"/>
              <w:pageBreakBefore w:val="0"/>
              <w:widowControl/>
              <w:kinsoku/>
              <w:wordWrap/>
              <w:overflowPunct/>
              <w:topLinePunct w:val="0"/>
              <w:autoSpaceDE/>
              <w:autoSpaceDN/>
              <w:bidi w:val="0"/>
              <w:adjustRightInd/>
              <w:spacing w:beforeLines="0" w:afterLines="0" w:line="460" w:lineRule="exact"/>
              <w:textAlignment w:val="auto"/>
              <w:rPr>
                <w:sz w:val="24"/>
                <w:szCs w:val="24"/>
                <w:highlight w:val="none"/>
              </w:rPr>
            </w:pPr>
            <w:r>
              <w:rPr>
                <w:rFonts w:ascii="Calibri" w:hAnsi="Calibri" w:eastAsia="宋体" w:cs="Times New Roman"/>
                <w:sz w:val="24"/>
                <w:szCs w:val="24"/>
                <w:highlight w:val="none"/>
              </w:rPr>
              <w:t>2.1</w:t>
            </w:r>
            <w:r>
              <w:rPr>
                <w:rFonts w:hint="eastAsia" w:ascii="Calibri" w:hAnsi="Calibri" w:eastAsia="宋体" w:cs="宋体"/>
                <w:sz w:val="24"/>
                <w:szCs w:val="24"/>
                <w:highlight w:val="none"/>
              </w:rPr>
              <w:t>投标报价要求</w:t>
            </w:r>
          </w:p>
          <w:p>
            <w:pPr>
              <w:pStyle w:val="6"/>
              <w:keepNext w:val="0"/>
              <w:keepLines w:val="0"/>
              <w:pageBreakBefore w:val="0"/>
              <w:widowControl/>
              <w:kinsoku/>
              <w:wordWrap/>
              <w:overflowPunct/>
              <w:topLinePunct w:val="0"/>
              <w:autoSpaceDE/>
              <w:autoSpaceDN/>
              <w:bidi w:val="0"/>
              <w:adjustRightInd/>
              <w:spacing w:beforeLines="0" w:afterLines="0" w:line="460" w:lineRule="exact"/>
              <w:ind w:firstLine="560"/>
              <w:textAlignment w:val="auto"/>
              <w:rPr>
                <w:sz w:val="24"/>
                <w:szCs w:val="24"/>
                <w:highlight w:val="none"/>
              </w:rPr>
            </w:pPr>
            <w:r>
              <w:rPr>
                <w:rFonts w:ascii="Calibri" w:hAnsi="Calibri" w:eastAsia="宋体" w:cs="Times New Roman"/>
                <w:sz w:val="24"/>
                <w:szCs w:val="24"/>
                <w:highlight w:val="none"/>
              </w:rPr>
              <w:t>A</w:t>
            </w:r>
            <w:r>
              <w:rPr>
                <w:rFonts w:hint="eastAsia" w:ascii="Calibri" w:hAnsi="Calibri" w:eastAsia="宋体" w:cs="宋体"/>
                <w:sz w:val="24"/>
                <w:szCs w:val="24"/>
                <w:highlight w:val="none"/>
              </w:rPr>
              <w:t>、可竞争费用（即：包干价）根据招采文件、施工图，结合现场踏勘情况、市场和企业情况自主合理报价，实行综合单价包干，但不得低于企业成本。暂定价按报价表提供单价填报。</w:t>
            </w:r>
          </w:p>
          <w:p>
            <w:pPr>
              <w:pStyle w:val="6"/>
              <w:keepNext w:val="0"/>
              <w:keepLines w:val="0"/>
              <w:pageBreakBefore w:val="0"/>
              <w:widowControl/>
              <w:kinsoku/>
              <w:wordWrap/>
              <w:overflowPunct/>
              <w:topLinePunct w:val="0"/>
              <w:autoSpaceDE/>
              <w:autoSpaceDN/>
              <w:bidi w:val="0"/>
              <w:adjustRightInd/>
              <w:spacing w:beforeLines="0" w:afterLines="0" w:line="460" w:lineRule="exact"/>
              <w:textAlignment w:val="auto"/>
              <w:rPr>
                <w:sz w:val="24"/>
                <w:szCs w:val="24"/>
                <w:highlight w:val="none"/>
              </w:rPr>
            </w:pPr>
            <w:r>
              <w:rPr>
                <w:rFonts w:ascii="Calibri" w:hAnsi="Calibri" w:eastAsia="宋体" w:cs="Times New Roman"/>
                <w:sz w:val="24"/>
                <w:szCs w:val="24"/>
                <w:highlight w:val="none"/>
              </w:rPr>
              <w:t xml:space="preserve">    B</w:t>
            </w:r>
            <w:r>
              <w:rPr>
                <w:rFonts w:hint="eastAsia" w:ascii="Calibri" w:hAnsi="Calibri" w:eastAsia="宋体" w:cs="宋体"/>
                <w:sz w:val="24"/>
                <w:szCs w:val="24"/>
                <w:highlight w:val="none"/>
              </w:rPr>
              <w:t>、列项按构件名称，不得漏报、多报，如漏报，视为含在其它项目中，如多列项，结算时予以扣除；</w:t>
            </w:r>
          </w:p>
          <w:p>
            <w:pPr>
              <w:pStyle w:val="6"/>
              <w:keepNext w:val="0"/>
              <w:keepLines w:val="0"/>
              <w:pageBreakBefore w:val="0"/>
              <w:widowControl/>
              <w:kinsoku/>
              <w:wordWrap/>
              <w:overflowPunct/>
              <w:topLinePunct w:val="0"/>
              <w:autoSpaceDE/>
              <w:autoSpaceDN/>
              <w:bidi w:val="0"/>
              <w:adjustRightInd/>
              <w:spacing w:beforeLines="0" w:afterLines="0" w:line="460" w:lineRule="exact"/>
              <w:textAlignment w:val="auto"/>
              <w:rPr>
                <w:sz w:val="24"/>
                <w:szCs w:val="24"/>
                <w:highlight w:val="none"/>
              </w:rPr>
            </w:pPr>
            <w:r>
              <w:rPr>
                <w:rFonts w:ascii="Calibri" w:hAnsi="Calibri" w:eastAsia="宋体" w:cs="Times New Roman"/>
                <w:sz w:val="24"/>
                <w:szCs w:val="24"/>
                <w:highlight w:val="none"/>
              </w:rPr>
              <w:t xml:space="preserve">    C</w:t>
            </w:r>
            <w:r>
              <w:rPr>
                <w:rFonts w:hint="eastAsia" w:ascii="Calibri" w:hAnsi="Calibri" w:eastAsia="宋体" w:cs="宋体"/>
                <w:sz w:val="24"/>
                <w:szCs w:val="24"/>
                <w:highlight w:val="none"/>
              </w:rPr>
              <w:t>、工作内容应包括齐全，未齐全的视为齐全，实施时不得以此为理由不予施工或另行索赔费用；</w:t>
            </w:r>
          </w:p>
          <w:p>
            <w:pPr>
              <w:pStyle w:val="6"/>
              <w:keepNext w:val="0"/>
              <w:keepLines w:val="0"/>
              <w:pageBreakBefore w:val="0"/>
              <w:widowControl/>
              <w:kinsoku/>
              <w:wordWrap/>
              <w:overflowPunct/>
              <w:topLinePunct w:val="0"/>
              <w:autoSpaceDE/>
              <w:autoSpaceDN/>
              <w:bidi w:val="0"/>
              <w:adjustRightInd/>
              <w:spacing w:beforeLines="0" w:afterLines="0" w:line="460" w:lineRule="exact"/>
              <w:textAlignment w:val="auto"/>
              <w:rPr>
                <w:sz w:val="24"/>
                <w:szCs w:val="24"/>
                <w:highlight w:val="none"/>
              </w:rPr>
            </w:pPr>
            <w:r>
              <w:rPr>
                <w:rFonts w:ascii="Calibri" w:hAnsi="Calibri" w:eastAsia="宋体" w:cs="Times New Roman"/>
                <w:sz w:val="24"/>
                <w:szCs w:val="24"/>
                <w:highlight w:val="none"/>
              </w:rPr>
              <w:t xml:space="preserve">    D</w:t>
            </w:r>
            <w:r>
              <w:rPr>
                <w:rFonts w:hint="eastAsia" w:ascii="Calibri" w:hAnsi="Calibri" w:eastAsia="宋体" w:cs="宋体"/>
                <w:sz w:val="24"/>
                <w:szCs w:val="24"/>
                <w:highlight w:val="none"/>
              </w:rPr>
              <w:t>、项目特征应准确表述，表述不准确的视为按设计或规范已表述准确；</w:t>
            </w:r>
          </w:p>
          <w:p>
            <w:pPr>
              <w:pStyle w:val="6"/>
              <w:keepNext w:val="0"/>
              <w:keepLines w:val="0"/>
              <w:pageBreakBefore w:val="0"/>
              <w:widowControl/>
              <w:kinsoku/>
              <w:wordWrap/>
              <w:overflowPunct/>
              <w:topLinePunct w:val="0"/>
              <w:autoSpaceDE/>
              <w:autoSpaceDN/>
              <w:bidi w:val="0"/>
              <w:adjustRightInd/>
              <w:spacing w:beforeLines="0" w:afterLines="0" w:line="460" w:lineRule="exact"/>
              <w:textAlignment w:val="auto"/>
              <w:rPr>
                <w:rFonts w:hint="eastAsia" w:ascii="Calibri" w:hAnsi="Calibri" w:eastAsia="宋体" w:cs="宋体"/>
                <w:sz w:val="24"/>
                <w:szCs w:val="24"/>
                <w:highlight w:val="none"/>
              </w:rPr>
            </w:pPr>
            <w:r>
              <w:rPr>
                <w:rFonts w:ascii="Calibri" w:hAnsi="Calibri" w:eastAsia="宋体" w:cs="Times New Roman"/>
                <w:sz w:val="24"/>
                <w:szCs w:val="24"/>
                <w:highlight w:val="none"/>
              </w:rPr>
              <w:t xml:space="preserve">    E</w:t>
            </w:r>
            <w:r>
              <w:rPr>
                <w:rFonts w:hint="eastAsia" w:ascii="Calibri" w:hAnsi="Calibri" w:eastAsia="宋体" w:cs="宋体"/>
                <w:sz w:val="24"/>
                <w:szCs w:val="24"/>
                <w:highlight w:val="none"/>
              </w:rPr>
              <w:t>、综合单价包括人工费、管理费和利润、税金(3%)等全部费用；</w:t>
            </w:r>
          </w:p>
          <w:p>
            <w:pPr>
              <w:pStyle w:val="6"/>
              <w:keepNext w:val="0"/>
              <w:keepLines w:val="0"/>
              <w:pageBreakBefore w:val="0"/>
              <w:widowControl/>
              <w:kinsoku/>
              <w:wordWrap/>
              <w:overflowPunct/>
              <w:topLinePunct w:val="0"/>
              <w:autoSpaceDE/>
              <w:autoSpaceDN/>
              <w:bidi w:val="0"/>
              <w:adjustRightInd/>
              <w:spacing w:beforeLines="0" w:afterLines="0" w:line="460" w:lineRule="exact"/>
              <w:ind w:firstLine="480" w:firstLineChars="200"/>
              <w:textAlignment w:val="auto"/>
              <w:rPr>
                <w:sz w:val="24"/>
                <w:szCs w:val="24"/>
                <w:highlight w:val="none"/>
              </w:rPr>
            </w:pPr>
            <w:r>
              <w:rPr>
                <w:rFonts w:hint="eastAsia" w:ascii="Calibri" w:hAnsi="Calibri" w:eastAsia="宋体" w:cs="宋体"/>
                <w:sz w:val="24"/>
                <w:szCs w:val="24"/>
                <w:highlight w:val="none"/>
              </w:rPr>
              <w:t>F、严格按照招采文件提供的报价方式进行报价（详见</w:t>
            </w:r>
            <w:r>
              <w:rPr>
                <w:rFonts w:hint="eastAsia" w:ascii="Calibri" w:hAnsi="Calibri" w:eastAsia="宋体" w:cs="宋体"/>
                <w:sz w:val="24"/>
                <w:szCs w:val="24"/>
                <w:highlight w:val="none"/>
                <w:lang w:eastAsia="zh-CN"/>
              </w:rPr>
              <w:t>投标报价</w:t>
            </w:r>
            <w:r>
              <w:rPr>
                <w:rFonts w:hint="eastAsia" w:ascii="Calibri" w:hAnsi="Calibri" w:eastAsia="宋体" w:cs="宋体"/>
                <w:sz w:val="24"/>
                <w:szCs w:val="24"/>
                <w:highlight w:val="none"/>
              </w:rPr>
              <w:t>表）。</w:t>
            </w:r>
          </w:p>
          <w:p>
            <w:pPr>
              <w:pStyle w:val="6"/>
              <w:keepNext w:val="0"/>
              <w:keepLines w:val="0"/>
              <w:pageBreakBefore w:val="0"/>
              <w:widowControl/>
              <w:kinsoku/>
              <w:wordWrap/>
              <w:overflowPunct/>
              <w:topLinePunct w:val="0"/>
              <w:autoSpaceDE/>
              <w:autoSpaceDN/>
              <w:bidi w:val="0"/>
              <w:adjustRightInd/>
              <w:snapToGrid w:val="0"/>
              <w:spacing w:beforeLines="0" w:afterLines="0" w:line="460" w:lineRule="exact"/>
              <w:ind w:firstLine="456" w:firstLineChars="200"/>
              <w:textAlignment w:val="auto"/>
              <w:rPr>
                <w:rFonts w:ascii="宋体" w:hAnsi="宋体" w:eastAsia="宋体" w:cs="宋体"/>
                <w:spacing w:val="-6"/>
                <w:sz w:val="24"/>
                <w:szCs w:val="24"/>
                <w:highlight w:val="none"/>
              </w:rPr>
            </w:pPr>
            <w:r>
              <w:rPr>
                <w:rFonts w:hint="eastAsia" w:ascii="宋体" w:hAnsi="宋体" w:eastAsia="宋体" w:cs="宋体"/>
                <w:spacing w:val="-6"/>
                <w:sz w:val="24"/>
                <w:szCs w:val="24"/>
                <w:highlight w:val="none"/>
              </w:rPr>
              <w:t>特别提示：</w:t>
            </w:r>
          </w:p>
          <w:p>
            <w:pPr>
              <w:pStyle w:val="6"/>
              <w:keepNext w:val="0"/>
              <w:keepLines w:val="0"/>
              <w:pageBreakBefore w:val="0"/>
              <w:widowControl/>
              <w:kinsoku/>
              <w:wordWrap/>
              <w:overflowPunct/>
              <w:topLinePunct w:val="0"/>
              <w:autoSpaceDE/>
              <w:autoSpaceDN/>
              <w:bidi w:val="0"/>
              <w:adjustRightInd/>
              <w:spacing w:beforeLines="0" w:afterLines="0" w:line="460" w:lineRule="exact"/>
              <w:ind w:firstLine="480" w:firstLineChars="200"/>
              <w:textAlignment w:val="auto"/>
              <w:rPr>
                <w:sz w:val="24"/>
                <w:szCs w:val="24"/>
                <w:highlight w:val="none"/>
              </w:rPr>
            </w:pPr>
            <w:r>
              <w:rPr>
                <w:rFonts w:hint="eastAsia" w:ascii="宋体" w:hAnsi="宋体" w:eastAsia="宋体" w:cs="宋体"/>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6"/>
              <w:keepNext w:val="0"/>
              <w:keepLines w:val="0"/>
              <w:pageBreakBefore w:val="0"/>
              <w:widowControl/>
              <w:kinsoku/>
              <w:wordWrap/>
              <w:overflowPunct/>
              <w:topLinePunct w:val="0"/>
              <w:autoSpaceDE/>
              <w:autoSpaceDN/>
              <w:bidi w:val="0"/>
              <w:adjustRightInd/>
              <w:snapToGrid w:val="0"/>
              <w:spacing w:beforeLines="0" w:afterLines="0" w:line="460" w:lineRule="exact"/>
              <w:jc w:val="left"/>
              <w:textAlignment w:val="auto"/>
              <w:rPr>
                <w:rFonts w:hint="eastAsia" w:ascii="宋体" w:hAnsi="宋体" w:eastAsia="宋体" w:cs="宋体"/>
                <w:sz w:val="24"/>
                <w:highlight w:val="none"/>
              </w:rPr>
            </w:pPr>
            <w:r>
              <w:rPr>
                <w:sz w:val="24"/>
                <w:szCs w:val="24"/>
                <w:highlight w:val="none"/>
              </w:rPr>
              <w:t>2.2</w:t>
            </w:r>
            <w:r>
              <w:rPr>
                <w:rFonts w:hint="eastAsia" w:cs="宋体"/>
                <w:sz w:val="24"/>
                <w:szCs w:val="24"/>
                <w:highlight w:val="none"/>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81"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13</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支付</w:t>
            </w:r>
            <w:r>
              <w:rPr>
                <w:rFonts w:hint="eastAsia" w:ascii="宋体" w:hAnsi="宋体" w:eastAsia="宋体" w:cs="宋体"/>
                <w:sz w:val="24"/>
                <w:highlight w:val="none"/>
                <w:lang w:eastAsia="zh-CN"/>
              </w:rPr>
              <w:t>条款及方式</w:t>
            </w:r>
          </w:p>
        </w:tc>
        <w:tc>
          <w:tcPr>
            <w:tcW w:w="6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beforeLines="0" w:afterLines="0" w:line="460" w:lineRule="exact"/>
              <w:textAlignment w:val="auto"/>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（1）甲方根据审核后的月进度金额，并扣除对乙方的甲供材料、甲供设备、各种违约金、代扣代缴等各项扣款后，按甲方审核的实际完成产值的70%支付进度款；</w:t>
            </w:r>
          </w:p>
          <w:p>
            <w:pPr>
              <w:keepNext w:val="0"/>
              <w:keepLines w:val="0"/>
              <w:pageBreakBefore w:val="0"/>
              <w:numPr>
                <w:ilvl w:val="0"/>
                <w:numId w:val="0"/>
              </w:numPr>
              <w:kinsoku/>
              <w:wordWrap/>
              <w:overflowPunct/>
              <w:topLinePunct w:val="0"/>
              <w:autoSpaceDE/>
              <w:autoSpaceDN/>
              <w:bidi w:val="0"/>
              <w:adjustRightInd/>
              <w:spacing w:beforeLines="0" w:afterLines="0" w:line="460" w:lineRule="exact"/>
              <w:textAlignment w:val="auto"/>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（2）单项工程完工验收三个月内，支付至甲方审核的累计完成产值的80%。</w:t>
            </w:r>
          </w:p>
          <w:p>
            <w:pPr>
              <w:keepNext w:val="0"/>
              <w:keepLines w:val="0"/>
              <w:pageBreakBefore w:val="0"/>
              <w:numPr>
                <w:ilvl w:val="0"/>
                <w:numId w:val="0"/>
              </w:numPr>
              <w:kinsoku/>
              <w:wordWrap/>
              <w:overflowPunct/>
              <w:topLinePunct w:val="0"/>
              <w:autoSpaceDE/>
              <w:autoSpaceDN/>
              <w:bidi w:val="0"/>
              <w:adjustRightInd/>
              <w:spacing w:beforeLines="0" w:afterLines="0" w:line="460" w:lineRule="exact"/>
              <w:textAlignment w:val="auto"/>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（3）验收合格后并办理完分包结算并经审核后，三个月后一次性无息支付至审核结算金额的97%；</w:t>
            </w:r>
          </w:p>
          <w:p>
            <w:pPr>
              <w:keepNext w:val="0"/>
              <w:keepLines w:val="0"/>
              <w:pageBreakBefore w:val="0"/>
              <w:numPr>
                <w:ilvl w:val="0"/>
                <w:numId w:val="0"/>
              </w:numPr>
              <w:kinsoku/>
              <w:wordWrap/>
              <w:overflowPunct/>
              <w:topLinePunct w:val="0"/>
              <w:autoSpaceDE/>
              <w:autoSpaceDN/>
              <w:bidi w:val="0"/>
              <w:adjustRightInd/>
              <w:spacing w:beforeLines="0" w:afterLines="0" w:line="460" w:lineRule="exact"/>
              <w:textAlignment w:val="auto"/>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（4）剩余3%作为缺陷质量保修金，缺陷期在该单项工程完工验收当日起算，缺陷责任期满（两年）后，若无其他争议，在完善相关手续后一次性无息支付。</w:t>
            </w:r>
          </w:p>
          <w:p>
            <w:pPr>
              <w:keepNext w:val="0"/>
              <w:keepLines w:val="0"/>
              <w:pageBreakBefore w:val="0"/>
              <w:numPr>
                <w:ilvl w:val="0"/>
                <w:numId w:val="0"/>
              </w:numPr>
              <w:kinsoku/>
              <w:wordWrap/>
              <w:overflowPunct/>
              <w:topLinePunct w:val="0"/>
              <w:autoSpaceDE/>
              <w:autoSpaceDN/>
              <w:bidi w:val="0"/>
              <w:adjustRightInd/>
              <w:spacing w:beforeLines="0" w:afterLines="0" w:line="460" w:lineRule="exact"/>
              <w:textAlignment w:val="auto"/>
              <w:rPr>
                <w:rFonts w:ascii="宋体" w:hAnsi="宋体" w:eastAsia="宋体" w:cs="宋体"/>
                <w:color w:val="auto"/>
                <w:sz w:val="24"/>
                <w:highlight w:val="none"/>
              </w:rPr>
            </w:pPr>
            <w:r>
              <w:rPr>
                <w:rFonts w:hint="eastAsia" w:ascii="Calibri" w:hAnsi="Calibri" w:eastAsia="宋体" w:cs="宋体"/>
                <w:color w:val="auto"/>
                <w:kern w:val="2"/>
                <w:sz w:val="24"/>
                <w:szCs w:val="24"/>
                <w:highlight w:val="none"/>
                <w:lang w:val="en-US" w:eastAsia="zh-CN" w:bidi="ar-SA"/>
              </w:rPr>
              <w:t>支付方式：银行转账、承兑汇票、银行信用证 、E信通等金融产品的一种或多种支付（若产生相关费用由甲方承担）。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14</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工程结算</w:t>
            </w:r>
          </w:p>
        </w:tc>
        <w:tc>
          <w:tcPr>
            <w:tcW w:w="6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2"/>
              </w:numPr>
              <w:kinsoku/>
              <w:wordWrap/>
              <w:overflowPunct/>
              <w:topLinePunct w:val="0"/>
              <w:autoSpaceDE/>
              <w:autoSpaceDN/>
              <w:bidi w:val="0"/>
              <w:adjustRightInd/>
              <w:spacing w:beforeLines="0" w:afterLines="0" w:line="460" w:lineRule="exact"/>
              <w:textAlignment w:val="auto"/>
              <w:rPr>
                <w:rFonts w:hint="eastAsia" w:ascii="Calibri" w:hAnsi="Calibri" w:eastAsia="宋体" w:cs="宋体"/>
                <w:color w:val="auto"/>
                <w:kern w:val="2"/>
                <w:sz w:val="24"/>
                <w:szCs w:val="24"/>
                <w:highlight w:val="none"/>
                <w:lang w:val="en-US" w:eastAsia="zh-CN" w:bidi="ar-SA"/>
              </w:rPr>
            </w:pPr>
            <w:r>
              <w:rPr>
                <w:rFonts w:hint="eastAsia" w:ascii="Calibri" w:hAnsi="Calibri" w:eastAsia="宋体" w:cs="宋体"/>
                <w:color w:val="auto"/>
                <w:kern w:val="2"/>
                <w:sz w:val="24"/>
                <w:szCs w:val="24"/>
                <w:highlight w:val="none"/>
                <w:lang w:val="en-US" w:eastAsia="zh-CN" w:bidi="ar-SA"/>
              </w:rPr>
              <w:t>工程量的确认依据：乙方向甲方提交的已完成并经甲方审签批复的合格工程量为准。</w:t>
            </w:r>
          </w:p>
          <w:p>
            <w:pPr>
              <w:keepNext w:val="0"/>
              <w:keepLines w:val="0"/>
              <w:pageBreakBefore w:val="0"/>
              <w:numPr>
                <w:ilvl w:val="0"/>
                <w:numId w:val="2"/>
              </w:numPr>
              <w:kinsoku/>
              <w:wordWrap/>
              <w:overflowPunct/>
              <w:topLinePunct w:val="0"/>
              <w:autoSpaceDE/>
              <w:autoSpaceDN/>
              <w:bidi w:val="0"/>
              <w:adjustRightInd/>
              <w:spacing w:beforeLines="0" w:afterLines="0" w:line="460" w:lineRule="exact"/>
              <w:textAlignment w:val="auto"/>
              <w:rPr>
                <w:rFonts w:ascii="宋体" w:hAnsi="宋体" w:eastAsia="宋体" w:cs="宋体"/>
                <w:color w:val="auto"/>
                <w:sz w:val="24"/>
                <w:highlight w:val="none"/>
              </w:rPr>
            </w:pPr>
            <w:r>
              <w:rPr>
                <w:rFonts w:hint="eastAsia" w:ascii="Calibri" w:hAnsi="Calibri" w:eastAsia="宋体" w:cs="宋体"/>
                <w:color w:val="auto"/>
                <w:kern w:val="2"/>
                <w:sz w:val="24"/>
                <w:szCs w:val="24"/>
                <w:highlight w:val="none"/>
                <w:lang w:val="en-US" w:eastAsia="zh-CN" w:bidi="ar-SA"/>
              </w:rPr>
              <w:t>结算方式：本工程结算以实际完成为结算依据，由现场工程师出具工程量结算单，经甲方复核并书面审签确认后方可有效，凭该结算单办理中间结算及决算。施工时实际工程量的变动不会降低或影响合同条件的效力，也不能免除乙方按规定标准进行施工和修复缺陷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15</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答疑/现场踏勘</w:t>
            </w:r>
          </w:p>
        </w:tc>
        <w:tc>
          <w:tcPr>
            <w:tcW w:w="6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6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投标人自行组织对工程现场及周围环境进行踏勘。</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联系人：熊小熊 ，电话：18502359242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16</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投标文件份数</w:t>
            </w:r>
          </w:p>
        </w:tc>
        <w:tc>
          <w:tcPr>
            <w:tcW w:w="6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6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17</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公示时间及网址</w:t>
            </w:r>
          </w:p>
        </w:tc>
        <w:tc>
          <w:tcPr>
            <w:tcW w:w="6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时间：</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26</w:t>
            </w:r>
            <w:r>
              <w:rPr>
                <w:rFonts w:hint="eastAsia" w:ascii="宋体" w:hAnsi="宋体" w:eastAsia="宋体" w:cs="宋体"/>
                <w:sz w:val="24"/>
                <w:highlight w:val="none"/>
              </w:rPr>
              <w:t>日</w:t>
            </w:r>
            <w:r>
              <w:rPr>
                <w:rFonts w:hint="eastAsia" w:ascii="宋体" w:hAnsi="宋体" w:eastAsia="宋体" w:cs="宋体"/>
                <w:sz w:val="24"/>
                <w:highlight w:val="none"/>
                <w:lang w:eastAsia="zh-CN"/>
              </w:rPr>
              <w:t>至</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27</w:t>
            </w:r>
            <w:r>
              <w:rPr>
                <w:rFonts w:hint="eastAsia" w:ascii="宋体" w:hAnsi="宋体" w:eastAsia="宋体" w:cs="宋体"/>
                <w:sz w:val="24"/>
                <w:highlight w:val="none"/>
              </w:rPr>
              <w:t>日</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网址：</w:t>
            </w:r>
            <w:r>
              <w:rPr>
                <w:rFonts w:hint="eastAsia" w:ascii="宋体" w:hAnsi="宋体" w:eastAsia="宋体" w:cs="宋体"/>
                <w:color w:val="auto"/>
                <w:sz w:val="24"/>
                <w:szCs w:val="24"/>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18</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投标文件提交地点及时间</w:t>
            </w:r>
          </w:p>
        </w:tc>
        <w:tc>
          <w:tcPr>
            <w:tcW w:w="6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6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收件人：重庆对外建设（集团）有限公司</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地点:渝北区星光大道80号重庆对外建设（集团）有限公司</w:t>
            </w:r>
            <w:r>
              <w:rPr>
                <w:rFonts w:hint="eastAsia" w:ascii="宋体" w:hAnsi="宋体" w:eastAsia="宋体" w:cs="宋体"/>
                <w:sz w:val="24"/>
                <w:highlight w:val="none"/>
                <w:lang w:val="en-US" w:eastAsia="zh-CN"/>
              </w:rPr>
              <w:t>3009</w:t>
            </w:r>
            <w:r>
              <w:rPr>
                <w:rFonts w:hint="eastAsia" w:ascii="宋体" w:hAnsi="宋体" w:eastAsia="宋体" w:cs="宋体"/>
                <w:sz w:val="24"/>
                <w:highlight w:val="none"/>
              </w:rPr>
              <w:t>室</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 xml:space="preserve">时间: </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28</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09</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分至</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28</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19</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开标</w:t>
            </w:r>
          </w:p>
        </w:tc>
        <w:tc>
          <w:tcPr>
            <w:tcW w:w="6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6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28</w:t>
            </w:r>
            <w:r>
              <w:rPr>
                <w:rFonts w:hint="eastAsia" w:ascii="宋体" w:hAnsi="宋体" w:eastAsia="宋体" w:cs="宋体"/>
                <w:sz w:val="24"/>
                <w:highlight w:val="none"/>
              </w:rPr>
              <w:t>日</w:t>
            </w:r>
            <w:bookmarkStart w:id="135" w:name="_GoBack"/>
            <w:bookmarkEnd w:id="135"/>
            <w:r>
              <w:rPr>
                <w:rFonts w:hint="eastAsia" w:ascii="宋体" w:hAnsi="宋体" w:eastAsia="宋体" w:cs="宋体"/>
                <w:sz w:val="24"/>
                <w:highlight w:val="none"/>
                <w:lang w:val="en-US" w:eastAsia="zh-CN"/>
              </w:rPr>
              <w:t>15</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00</w:t>
            </w:r>
            <w:r>
              <w:rPr>
                <w:rFonts w:hint="eastAsia" w:ascii="宋体" w:hAnsi="宋体" w:eastAsia="宋体" w:cs="宋体"/>
                <w:sz w:val="24"/>
                <w:highlight w:val="none"/>
              </w:rPr>
              <w:t>分</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地点:渝北区星光大道80号重庆对外建设（集团）有限公司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20</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评审方法及标准</w:t>
            </w:r>
          </w:p>
        </w:tc>
        <w:tc>
          <w:tcPr>
            <w:tcW w:w="6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6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4"/>
                <w:highlight w:val="none"/>
              </w:rPr>
              <w:t>开标时应出示文件</w:t>
            </w:r>
          </w:p>
        </w:tc>
        <w:tc>
          <w:tcPr>
            <w:tcW w:w="6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60" w:lineRule="exact"/>
              <w:jc w:val="left"/>
              <w:textAlignment w:val="auto"/>
              <w:rPr>
                <w:rFonts w:ascii="宋体" w:hAnsi="宋体" w:eastAsia="宋体" w:cs="宋体"/>
                <w:sz w:val="28"/>
                <w:szCs w:val="28"/>
                <w:highlight w:val="none"/>
              </w:rPr>
            </w:pPr>
            <w:r>
              <w:rPr>
                <w:rFonts w:hint="eastAsia" w:ascii="宋体" w:hAnsi="宋体" w:eastAsia="宋体" w:cs="宋体"/>
                <w:sz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default"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22</w:t>
            </w:r>
          </w:p>
        </w:tc>
        <w:tc>
          <w:tcPr>
            <w:tcW w:w="2178"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其他</w:t>
            </w:r>
          </w:p>
        </w:tc>
        <w:tc>
          <w:tcPr>
            <w:tcW w:w="68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60" w:lineRule="exact"/>
              <w:jc w:val="center"/>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w:t>
            </w:r>
          </w:p>
        </w:tc>
      </w:tr>
    </w:tbl>
    <w:p>
      <w:pPr>
        <w:jc w:val="center"/>
        <w:rPr>
          <w:rFonts w:ascii="宋体" w:hAnsi="宋体" w:eastAsia="宋体" w:cs="宋体"/>
          <w:b/>
          <w:sz w:val="28"/>
          <w:szCs w:val="28"/>
          <w:highlight w:val="none"/>
        </w:rPr>
      </w:pPr>
    </w:p>
    <w:p>
      <w:pPr>
        <w:rPr>
          <w:rFonts w:hint="eastAsia" w:ascii="宋体" w:hAnsi="宋体" w:eastAsia="宋体" w:cs="宋体"/>
          <w:b/>
          <w:sz w:val="28"/>
          <w:szCs w:val="28"/>
          <w:highlight w:val="none"/>
        </w:rPr>
      </w:pPr>
      <w:r>
        <w:rPr>
          <w:rFonts w:hint="eastAsia" w:ascii="宋体" w:hAnsi="宋体" w:eastAsia="宋体" w:cs="宋体"/>
          <w:b/>
          <w:sz w:val="28"/>
          <w:szCs w:val="28"/>
          <w:highlight w:val="none"/>
        </w:rPr>
        <w:br w:type="page"/>
      </w:r>
    </w:p>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第三部分  评审方法（符合性评审）</w:t>
      </w:r>
    </w:p>
    <w:tbl>
      <w:tblPr>
        <w:tblStyle w:val="12"/>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highlight w:val="none"/>
              </w:rPr>
            </w:pPr>
            <w:r>
              <w:rPr>
                <w:rFonts w:hint="eastAsia" w:ascii="宋体" w:hAnsi="宋体" w:eastAsia="宋体" w:cs="宋体"/>
                <w:b/>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highlight w:val="none"/>
              </w:rPr>
            </w:pPr>
            <w:r>
              <w:rPr>
                <w:rFonts w:hint="eastAsia" w:ascii="宋体" w:hAnsi="宋体" w:eastAsia="宋体" w:cs="宋体"/>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highlight w:val="none"/>
              </w:rPr>
            </w:pPr>
            <w:r>
              <w:rPr>
                <w:rFonts w:hint="eastAsia" w:ascii="宋体" w:hAnsi="宋体" w:eastAsia="宋体" w:cs="宋体"/>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投标人</w:t>
            </w:r>
            <w:r>
              <w:rPr>
                <w:rFonts w:hint="eastAsia" w:ascii="宋体" w:hAnsi="Calibri" w:eastAsia="宋体" w:cs="宋体"/>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highlight w:val="none"/>
              </w:rPr>
            </w:pPr>
            <w:r>
              <w:rPr>
                <w:rFonts w:hint="eastAsia" w:ascii="宋体" w:hAnsi="宋体" w:eastAsia="宋体" w:cs="宋体"/>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highlight w:val="none"/>
                <w:lang w:val="en-US" w:eastAsia="zh-CN"/>
              </w:rPr>
            </w:pPr>
            <w:r>
              <w:rPr>
                <w:rFonts w:hint="eastAsia" w:ascii="宋体" w:hAnsi="Calibri" w:eastAsia="宋体" w:cs="宋体"/>
                <w:highlight w:val="none"/>
                <w:lang w:val="en-US" w:eastAsia="zh-CN"/>
              </w:rPr>
              <w:t>具有建筑行政管理部门批准的劳务分包资质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highlight w:val="none"/>
              </w:rPr>
            </w:pPr>
            <w:r>
              <w:rPr>
                <w:rFonts w:hint="eastAsia" w:ascii="宋体" w:hAnsi="Calibri" w:eastAsia="宋体" w:cs="宋体"/>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highlight w:val="none"/>
              </w:rPr>
            </w:pPr>
            <w:r>
              <w:rPr>
                <w:rFonts w:hint="eastAsia" w:ascii="宋体" w:hAnsi="宋体" w:eastAsia="宋体" w:cs="宋体"/>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Calibri" w:eastAsia="宋体" w:cs="宋体"/>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highlight w:val="none"/>
              </w:rPr>
            </w:pPr>
            <w:r>
              <w:rPr>
                <w:rFonts w:hint="eastAsia" w:ascii="宋体" w:hAnsi="宋体" w:eastAsia="宋体" w:cs="宋体"/>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有效投标报价最低者即为第一中选候选人</w:t>
            </w:r>
          </w:p>
        </w:tc>
      </w:tr>
    </w:tbl>
    <w:p>
      <w:pPr>
        <w:spacing w:line="540" w:lineRule="exact"/>
        <w:jc w:val="center"/>
        <w:rPr>
          <w:rFonts w:ascii="宋体" w:hAnsi="宋体" w:eastAsia="宋体" w:cs="宋体"/>
          <w:b/>
          <w:sz w:val="28"/>
          <w:szCs w:val="28"/>
          <w:highlight w:val="none"/>
        </w:rPr>
      </w:pPr>
    </w:p>
    <w:p>
      <w:pPr>
        <w:jc w:val="center"/>
        <w:rPr>
          <w:rFonts w:ascii="宋体" w:hAnsi="宋体" w:eastAsia="宋体" w:cs="宋体"/>
          <w:b/>
          <w:sz w:val="28"/>
          <w:szCs w:val="28"/>
          <w:highlight w:val="none"/>
        </w:rPr>
      </w:pPr>
      <w:r>
        <w:rPr>
          <w:rFonts w:hint="eastAsia" w:ascii="宋体" w:hAnsi="宋体" w:eastAsia="宋体" w:cs="Times New Roman"/>
          <w:b/>
          <w:sz w:val="28"/>
          <w:szCs w:val="28"/>
          <w:highlight w:val="none"/>
        </w:rPr>
        <w:br w:type="page"/>
      </w:r>
      <w:r>
        <w:rPr>
          <w:rFonts w:hint="eastAsia" w:ascii="宋体" w:hAnsi="宋体" w:eastAsia="宋体" w:cs="宋体"/>
          <w:b/>
          <w:sz w:val="28"/>
          <w:szCs w:val="28"/>
          <w:highlight w:val="none"/>
        </w:rPr>
        <w:t>第四部分   投标人须知</w:t>
      </w:r>
      <w:bookmarkStart w:id="0" w:name="_Toc123786822"/>
      <w:bookmarkStart w:id="1" w:name="_Toc42923333"/>
      <w:bookmarkStart w:id="2" w:name="_Toc71877701"/>
    </w:p>
    <w:p>
      <w:pPr>
        <w:spacing w:beforeLines="0" w:afterLines="0" w:line="500" w:lineRule="exact"/>
        <w:rPr>
          <w:rFonts w:ascii="宋体" w:hAnsi="宋体" w:eastAsia="宋体" w:cs="宋体"/>
          <w:b/>
          <w:sz w:val="28"/>
          <w:szCs w:val="28"/>
          <w:highlight w:val="none"/>
        </w:rPr>
      </w:pPr>
      <w:r>
        <w:rPr>
          <w:rFonts w:hint="eastAsia" w:ascii="宋体" w:hAnsi="宋体" w:eastAsia="宋体" w:cs="宋体"/>
          <w:b/>
          <w:sz w:val="28"/>
          <w:szCs w:val="28"/>
          <w:highlight w:val="none"/>
        </w:rPr>
        <w:t>一、说明</w:t>
      </w:r>
      <w:bookmarkEnd w:id="0"/>
      <w:bookmarkEnd w:id="1"/>
      <w:bookmarkEnd w:id="2"/>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1.2质量要求</w:t>
      </w:r>
      <w:r>
        <w:rPr>
          <w:rFonts w:hint="eastAsia" w:ascii="宋体" w:hAnsi="宋体" w:eastAsia="宋体" w:cs="宋体"/>
          <w:bCs/>
          <w:iCs/>
          <w:sz w:val="28"/>
          <w:szCs w:val="28"/>
          <w:highlight w:val="none"/>
          <w:lang w:eastAsia="zh-CN"/>
        </w:rPr>
        <w:t>：</w:t>
      </w:r>
      <w:r>
        <w:rPr>
          <w:rFonts w:hint="eastAsia" w:ascii="宋体" w:hAnsi="宋体" w:eastAsia="宋体" w:cs="宋体"/>
          <w:bCs/>
          <w:iCs/>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1.3工程技术要求</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sz w:val="28"/>
          <w:szCs w:val="28"/>
          <w:highlight w:val="none"/>
        </w:rPr>
      </w:pPr>
      <w:bookmarkStart w:id="3" w:name="_Toc123786824"/>
      <w:bookmarkStart w:id="4" w:name="_Toc71877703"/>
      <w:bookmarkStart w:id="5" w:name="_Toc42923335"/>
      <w:r>
        <w:rPr>
          <w:rFonts w:ascii="宋体" w:hAnsi="宋体"/>
          <w:sz w:val="28"/>
          <w:szCs w:val="28"/>
          <w:highlight w:val="none"/>
        </w:rPr>
        <w:t>1.4工程施工图纸</w:t>
      </w:r>
      <w:r>
        <w:rPr>
          <w:rFonts w:hint="eastAsia" w:ascii="宋体" w:hAnsi="宋体"/>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sz w:val="28"/>
          <w:szCs w:val="28"/>
          <w:highlight w:val="none"/>
        </w:rPr>
      </w:pPr>
      <w:r>
        <w:rPr>
          <w:rFonts w:ascii="宋体" w:hAnsi="宋体"/>
          <w:bCs/>
          <w:sz w:val="28"/>
          <w:szCs w:val="28"/>
          <w:highlight w:val="none"/>
        </w:rPr>
        <w:t>1.5 工程标准图集清单：</w:t>
      </w:r>
      <w:r>
        <w:rPr>
          <w:rFonts w:hint="eastAsia" w:ascii="宋体" w:hAnsi="宋体"/>
          <w:bCs/>
          <w:sz w:val="28"/>
          <w:szCs w:val="28"/>
          <w:highlight w:val="none"/>
          <w:u w:val="single"/>
        </w:rPr>
        <w:t>详见国家相关图集</w:t>
      </w:r>
      <w:r>
        <w:rPr>
          <w:rFonts w:ascii="宋体" w:hAnsi="宋体"/>
          <w:bCs/>
          <w:sz w:val="28"/>
          <w:szCs w:val="28"/>
          <w:highlight w:val="none"/>
        </w:rPr>
        <w:t>。</w:t>
      </w:r>
    </w:p>
    <w:p>
      <w:pPr>
        <w:widowControl/>
        <w:spacing w:beforeLines="0" w:afterLines="0" w:line="500" w:lineRule="exact"/>
        <w:ind w:firstLine="560" w:firstLineChars="200"/>
        <w:jc w:val="left"/>
        <w:rPr>
          <w:rFonts w:ascii="宋体" w:hAnsi="宋体"/>
          <w:sz w:val="28"/>
          <w:szCs w:val="28"/>
          <w:highlight w:val="none"/>
        </w:rPr>
      </w:pPr>
      <w:r>
        <w:rPr>
          <w:rFonts w:ascii="宋体" w:hAnsi="宋体"/>
          <w:bCs/>
          <w:sz w:val="28"/>
          <w:szCs w:val="28"/>
          <w:highlight w:val="none"/>
        </w:rPr>
        <w:t>1.6</w:t>
      </w:r>
      <w:r>
        <w:rPr>
          <w:rFonts w:ascii="宋体" w:hAnsi="宋体"/>
          <w:sz w:val="28"/>
          <w:szCs w:val="28"/>
          <w:highlight w:val="none"/>
        </w:rPr>
        <w:t>总承包单位：</w:t>
      </w:r>
      <w:r>
        <w:rPr>
          <w:rFonts w:hint="eastAsia" w:ascii="宋体" w:hAnsi="宋体"/>
          <w:bCs/>
          <w:sz w:val="28"/>
          <w:szCs w:val="28"/>
          <w:highlight w:val="none"/>
          <w:u w:val="single"/>
        </w:rPr>
        <w:t>重庆对外建设（集团）有限公司</w:t>
      </w:r>
      <w:r>
        <w:rPr>
          <w:rFonts w:ascii="宋体" w:hAnsi="宋体"/>
          <w:sz w:val="28"/>
          <w:szCs w:val="28"/>
          <w:highlight w:val="none"/>
          <w:u w:val="single"/>
        </w:rPr>
        <w:t>。</w:t>
      </w:r>
    </w:p>
    <w:p>
      <w:pPr>
        <w:spacing w:beforeLines="0" w:afterLines="0" w:line="500" w:lineRule="exact"/>
        <w:ind w:firstLine="560" w:firstLineChars="200"/>
        <w:rPr>
          <w:rFonts w:ascii="宋体" w:hAnsi="宋体"/>
          <w:sz w:val="28"/>
          <w:szCs w:val="28"/>
          <w:highlight w:val="none"/>
        </w:rPr>
      </w:pPr>
      <w:r>
        <w:rPr>
          <w:rFonts w:hint="eastAsia" w:ascii="宋体" w:hAnsi="宋体"/>
          <w:sz w:val="28"/>
          <w:szCs w:val="28"/>
          <w:highlight w:val="none"/>
        </w:rPr>
        <w:t>1.7 本招采文件有关条款由招采人负责解释。</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bookmarkEnd w:id="3"/>
      <w:bookmarkEnd w:id="4"/>
      <w:bookmarkEnd w:id="5"/>
      <w:r>
        <w:rPr>
          <w:rFonts w:hint="eastAsia" w:ascii="宋体" w:hAnsi="宋体" w:eastAsia="宋体" w:cs="宋体"/>
          <w:sz w:val="28"/>
          <w:szCs w:val="28"/>
          <w:highlight w:val="none"/>
        </w:rPr>
        <w:t>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 招采人及联系方式见投标邀请。</w:t>
      </w:r>
    </w:p>
    <w:p>
      <w:pPr>
        <w:spacing w:beforeLines="0" w:afterLines="0" w:line="500" w:lineRule="exact"/>
        <w:rPr>
          <w:rFonts w:ascii="宋体" w:hAnsi="宋体" w:eastAsia="宋体" w:cs="宋体"/>
          <w:sz w:val="28"/>
          <w:szCs w:val="28"/>
          <w:highlight w:val="none"/>
        </w:rPr>
      </w:pPr>
      <w:bookmarkStart w:id="6" w:name="_Toc71877705"/>
      <w:bookmarkStart w:id="7" w:name="_Toc42923337"/>
      <w:bookmarkStart w:id="8" w:name="_Toc123786826"/>
      <w:r>
        <w:rPr>
          <w:rFonts w:hint="eastAsia" w:ascii="宋体" w:hAnsi="宋体" w:eastAsia="宋体" w:cs="宋体"/>
          <w:sz w:val="28"/>
          <w:szCs w:val="28"/>
          <w:highlight w:val="none"/>
        </w:rPr>
        <w:t>3.合格的投标人</w:t>
      </w:r>
      <w:bookmarkEnd w:id="6"/>
      <w:bookmarkEnd w:id="7"/>
      <w:bookmarkEnd w:id="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3.1 除“投标人须知前附表”及本文件另有规定，凡是有能力承担本项目相关分包施工范围，符合并承认和履行本招采文件中的各项规定者为合格的投标人。</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3.2 投标人必须遵守《</w:t>
      </w:r>
      <w:bookmarkStart w:id="9" w:name="OLE_LINK1"/>
      <w:bookmarkStart w:id="10" w:name="OLE_LINK2"/>
      <w:r>
        <w:rPr>
          <w:rFonts w:hint="eastAsia" w:ascii="宋体" w:hAnsi="宋体" w:eastAsia="宋体" w:cs="宋体"/>
          <w:bCs/>
          <w:sz w:val="28"/>
          <w:szCs w:val="28"/>
          <w:highlight w:val="none"/>
        </w:rPr>
        <w:t>中华人民共和国招采投标法</w:t>
      </w:r>
      <w:bookmarkEnd w:id="9"/>
      <w:bookmarkEnd w:id="10"/>
      <w:r>
        <w:rPr>
          <w:rFonts w:hint="eastAsia" w:ascii="宋体" w:hAnsi="宋体" w:eastAsia="宋体" w:cs="宋体"/>
          <w:bCs/>
          <w:sz w:val="28"/>
          <w:szCs w:val="28"/>
          <w:highlight w:val="none"/>
        </w:rPr>
        <w:t>》的有关规定和其他相关的法律、法规、规章、条例及招采文件中的规定。</w:t>
      </w:r>
    </w:p>
    <w:p>
      <w:pPr>
        <w:spacing w:beforeLines="0" w:afterLines="0" w:line="500" w:lineRule="exact"/>
        <w:rPr>
          <w:rFonts w:ascii="宋体" w:hAnsi="宋体" w:eastAsia="宋体" w:cs="宋体"/>
          <w:sz w:val="28"/>
          <w:szCs w:val="28"/>
          <w:highlight w:val="none"/>
        </w:rPr>
      </w:pPr>
      <w:bookmarkStart w:id="11" w:name="_Hlt42848260"/>
      <w:bookmarkEnd w:id="11"/>
      <w:bookmarkStart w:id="12" w:name="_Toc123786827"/>
      <w:bookmarkStart w:id="13" w:name="_Toc71877706"/>
      <w:bookmarkStart w:id="14" w:name="_Toc42923338"/>
      <w:r>
        <w:rPr>
          <w:rFonts w:hint="eastAsia" w:ascii="宋体" w:hAnsi="宋体" w:eastAsia="宋体" w:cs="宋体"/>
          <w:sz w:val="28"/>
          <w:szCs w:val="28"/>
          <w:highlight w:val="none"/>
        </w:rPr>
        <w:t>4.合格的</w:t>
      </w:r>
      <w:bookmarkEnd w:id="12"/>
      <w:bookmarkEnd w:id="13"/>
      <w:bookmarkEnd w:id="14"/>
      <w:r>
        <w:rPr>
          <w:rFonts w:hint="eastAsia" w:ascii="宋体" w:hAnsi="宋体" w:eastAsia="宋体" w:cs="宋体"/>
          <w:sz w:val="28"/>
          <w:szCs w:val="28"/>
          <w:highlight w:val="none"/>
          <w:lang w:eastAsia="zh-CN"/>
        </w:rPr>
        <w:t>劳务</w:t>
      </w:r>
      <w:r>
        <w:rPr>
          <w:rFonts w:hint="eastAsia" w:ascii="宋体" w:hAnsi="宋体" w:eastAsia="宋体" w:cs="宋体"/>
          <w:sz w:val="28"/>
          <w:szCs w:val="28"/>
          <w:highlight w:val="none"/>
        </w:rPr>
        <w:t>分包商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sz w:val="28"/>
          <w:szCs w:val="28"/>
          <w:highlight w:val="none"/>
        </w:rPr>
      </w:pPr>
      <w:bookmarkStart w:id="15" w:name="_Hlt42848264"/>
      <w:bookmarkEnd w:id="15"/>
      <w:bookmarkStart w:id="16" w:name="_Toc42923339"/>
      <w:bookmarkStart w:id="17" w:name="_Toc71877707"/>
      <w:bookmarkStart w:id="18" w:name="_Toc123786828"/>
      <w:r>
        <w:rPr>
          <w:rFonts w:hint="eastAsia" w:ascii="宋体" w:hAnsi="宋体" w:eastAsia="宋体" w:cs="宋体"/>
          <w:sz w:val="28"/>
          <w:szCs w:val="28"/>
          <w:highlight w:val="none"/>
        </w:rPr>
        <w:t>5.投标费用</w:t>
      </w:r>
      <w:bookmarkEnd w:id="16"/>
      <w:bookmarkEnd w:id="17"/>
      <w:bookmarkEnd w:id="1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5.1 投标人在投标过程中的一切费用，不论中选与否，均由投标人自负。</w:t>
      </w:r>
    </w:p>
    <w:p>
      <w:pPr>
        <w:spacing w:beforeLines="0" w:afterLines="0" w:line="500" w:lineRule="exact"/>
        <w:rPr>
          <w:rFonts w:ascii="宋体" w:hAnsi="宋体" w:eastAsia="宋体" w:cs="宋体"/>
          <w:sz w:val="28"/>
          <w:szCs w:val="28"/>
          <w:highlight w:val="none"/>
        </w:rPr>
      </w:pPr>
      <w:bookmarkStart w:id="19" w:name="_Toc123786829"/>
      <w:r>
        <w:rPr>
          <w:rFonts w:hint="eastAsia" w:ascii="宋体" w:hAnsi="宋体" w:eastAsia="宋体" w:cs="宋体"/>
          <w:sz w:val="28"/>
          <w:szCs w:val="28"/>
          <w:highlight w:val="none"/>
        </w:rPr>
        <w:t>6.</w:t>
      </w:r>
      <w:r>
        <w:rPr>
          <w:rFonts w:hint="eastAsia" w:ascii="宋体" w:hAnsi="宋体" w:eastAsia="宋体" w:cs="宋体"/>
          <w:kern w:val="0"/>
          <w:sz w:val="28"/>
          <w:szCs w:val="28"/>
          <w:highlight w:val="none"/>
        </w:rPr>
        <w:t>答疑及现场</w:t>
      </w:r>
      <w:bookmarkEnd w:id="19"/>
      <w:r>
        <w:rPr>
          <w:rFonts w:hint="eastAsia" w:ascii="宋体" w:hAnsi="宋体" w:eastAsia="宋体" w:cs="宋体"/>
          <w:kern w:val="0"/>
          <w:sz w:val="28"/>
          <w:szCs w:val="28"/>
          <w:highlight w:val="none"/>
        </w:rPr>
        <w:t>踏勘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6.1 答疑目的是澄清、解答投标人提出的问题及组织投标人现场考察。</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6.3 投标人</w:t>
      </w:r>
      <w:r>
        <w:rPr>
          <w:rFonts w:hint="eastAsia" w:ascii="宋体" w:hAnsi="宋体" w:eastAsia="宋体" w:cs="宋体"/>
          <w:sz w:val="28"/>
          <w:szCs w:val="28"/>
          <w:highlight w:val="none"/>
          <w:lang w:eastAsia="zh-CN"/>
        </w:rPr>
        <w:t>可能被邀请对</w:t>
      </w:r>
      <w:r>
        <w:rPr>
          <w:rFonts w:hint="eastAsia" w:ascii="宋体" w:hAnsi="宋体" w:eastAsia="宋体" w:cs="宋体"/>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6.6 答疑所产生的对招采文件的修改，由招采人以补充通知</w:t>
      </w:r>
      <w:r>
        <w:rPr>
          <w:rFonts w:hint="eastAsia" w:ascii="宋体" w:hAnsi="宋体" w:eastAsia="宋体" w:cs="宋体"/>
          <w:sz w:val="28"/>
          <w:szCs w:val="28"/>
          <w:highlight w:val="none"/>
        </w:rPr>
        <w:t>提供给所有获得招采文件的投标人</w:t>
      </w:r>
      <w:r>
        <w:rPr>
          <w:rFonts w:hint="eastAsia" w:ascii="宋体" w:hAnsi="宋体" w:eastAsia="宋体" w:cs="宋体"/>
          <w:kern w:val="0"/>
          <w:sz w:val="28"/>
          <w:szCs w:val="28"/>
          <w:highlight w:val="none"/>
        </w:rPr>
        <w:t>。</w:t>
      </w:r>
    </w:p>
    <w:p>
      <w:pPr>
        <w:spacing w:beforeLines="0" w:afterLines="0" w:line="500" w:lineRule="exact"/>
        <w:rPr>
          <w:rFonts w:ascii="宋体" w:hAnsi="宋体" w:eastAsia="宋体" w:cs="宋体"/>
          <w:b/>
          <w:sz w:val="28"/>
          <w:szCs w:val="28"/>
          <w:highlight w:val="none"/>
        </w:rPr>
      </w:pPr>
      <w:bookmarkStart w:id="20" w:name="_Toc71877708"/>
      <w:bookmarkStart w:id="21" w:name="_Toc123786830"/>
      <w:bookmarkStart w:id="22" w:name="_Toc42923340"/>
      <w:r>
        <w:rPr>
          <w:rFonts w:hint="eastAsia" w:ascii="宋体" w:hAnsi="宋体" w:eastAsia="宋体" w:cs="宋体"/>
          <w:b/>
          <w:sz w:val="28"/>
          <w:szCs w:val="28"/>
          <w:highlight w:val="none"/>
        </w:rPr>
        <w:t>二、</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招采文件</w:t>
      </w:r>
      <w:bookmarkEnd w:id="20"/>
      <w:bookmarkEnd w:id="21"/>
      <w:bookmarkEnd w:id="22"/>
    </w:p>
    <w:p>
      <w:pPr>
        <w:spacing w:beforeLines="0" w:afterLines="0" w:line="500" w:lineRule="exact"/>
        <w:rPr>
          <w:rFonts w:ascii="宋体" w:hAnsi="宋体" w:eastAsia="宋体" w:cs="宋体"/>
          <w:sz w:val="28"/>
          <w:szCs w:val="28"/>
          <w:highlight w:val="none"/>
        </w:rPr>
      </w:pPr>
      <w:bookmarkStart w:id="23" w:name="_Toc42923341"/>
      <w:bookmarkStart w:id="24" w:name="_Toc123786831"/>
      <w:bookmarkStart w:id="25" w:name="_Toc71877709"/>
      <w:r>
        <w:rPr>
          <w:rFonts w:hint="eastAsia" w:ascii="宋体" w:hAnsi="宋体" w:eastAsia="宋体" w:cs="宋体"/>
          <w:sz w:val="28"/>
          <w:szCs w:val="28"/>
          <w:highlight w:val="none"/>
        </w:rPr>
        <w:t>7.招采文件构成</w:t>
      </w:r>
      <w:bookmarkEnd w:id="23"/>
      <w:bookmarkEnd w:id="24"/>
      <w:bookmarkEnd w:id="2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7.1招采文件的内容如下：</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第一部分 投标邀请</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第二部分 投标人须知前附表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第三部分 评审方法</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第四部分 投标人须知</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第五部分 合同范本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第六部分 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sz w:val="28"/>
          <w:szCs w:val="28"/>
          <w:highlight w:val="none"/>
        </w:rPr>
      </w:pPr>
      <w:bookmarkStart w:id="26" w:name="_Toc123786832"/>
      <w:bookmarkStart w:id="27" w:name="_Toc42923342"/>
      <w:bookmarkStart w:id="28" w:name="_Toc71877710"/>
      <w:r>
        <w:rPr>
          <w:rFonts w:hint="eastAsia" w:ascii="宋体" w:hAnsi="宋体" w:eastAsia="宋体" w:cs="宋体"/>
          <w:sz w:val="28"/>
          <w:szCs w:val="28"/>
          <w:highlight w:val="none"/>
        </w:rPr>
        <w:t>8.招采文件的澄清</w:t>
      </w:r>
      <w:bookmarkEnd w:id="26"/>
      <w:bookmarkEnd w:id="27"/>
      <w:bookmarkEnd w:id="2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highlight w:val="none"/>
        </w:rPr>
        <w:t>以补充通知的方式</w:t>
      </w:r>
      <w:r>
        <w:rPr>
          <w:rFonts w:hint="eastAsia" w:ascii="宋体" w:hAnsi="宋体" w:eastAsia="宋体" w:cs="宋体"/>
          <w:sz w:val="28"/>
          <w:szCs w:val="28"/>
          <w:highlight w:val="none"/>
        </w:rPr>
        <w:t>答复所有获得招采文件的投标人（答复中不包括问题的来源）。</w:t>
      </w:r>
    </w:p>
    <w:p>
      <w:pPr>
        <w:spacing w:beforeLines="0" w:afterLines="0" w:line="500" w:lineRule="exact"/>
        <w:rPr>
          <w:rFonts w:ascii="宋体" w:hAnsi="宋体" w:eastAsia="宋体" w:cs="宋体"/>
          <w:sz w:val="28"/>
          <w:szCs w:val="28"/>
          <w:highlight w:val="none"/>
        </w:rPr>
      </w:pPr>
      <w:bookmarkStart w:id="29" w:name="_Toc71877711"/>
      <w:bookmarkStart w:id="30" w:name="_Toc123786833"/>
      <w:bookmarkStart w:id="31" w:name="_Toc42923343"/>
      <w:r>
        <w:rPr>
          <w:rFonts w:hint="eastAsia" w:ascii="宋体" w:hAnsi="宋体" w:eastAsia="宋体" w:cs="宋体"/>
          <w:sz w:val="28"/>
          <w:szCs w:val="28"/>
          <w:highlight w:val="none"/>
        </w:rPr>
        <w:t>9.招采文件的修改</w:t>
      </w:r>
      <w:bookmarkEnd w:id="29"/>
      <w:bookmarkEnd w:id="30"/>
      <w:bookmarkEnd w:id="3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9.2招采文件的修改将</w:t>
      </w:r>
      <w:r>
        <w:rPr>
          <w:rFonts w:hint="eastAsia" w:ascii="宋体" w:hAnsi="宋体" w:eastAsia="宋体" w:cs="宋体"/>
          <w:sz w:val="28"/>
          <w:szCs w:val="28"/>
          <w:highlight w:val="none"/>
          <w:lang w:eastAsia="zh-CN"/>
        </w:rPr>
        <w:t>在发布平台上公布</w:t>
      </w:r>
      <w:r>
        <w:rPr>
          <w:rFonts w:hint="eastAsia" w:ascii="宋体" w:hAnsi="宋体" w:eastAsia="宋体" w:cs="宋体"/>
          <w:sz w:val="28"/>
          <w:szCs w:val="28"/>
          <w:highlight w:val="none"/>
        </w:rPr>
        <w:t>，并对其具有约束力。投标人</w:t>
      </w:r>
      <w:r>
        <w:rPr>
          <w:rFonts w:hint="eastAsia" w:ascii="宋体" w:hAnsi="宋体" w:eastAsia="宋体" w:cs="宋体"/>
          <w:sz w:val="28"/>
          <w:szCs w:val="28"/>
          <w:highlight w:val="none"/>
          <w:lang w:eastAsia="zh-CN"/>
        </w:rPr>
        <w:t>自行查看</w:t>
      </w:r>
      <w:r>
        <w:rPr>
          <w:rFonts w:hint="eastAsia" w:ascii="宋体" w:hAnsi="宋体" w:eastAsia="宋体" w:cs="宋体"/>
          <w:sz w:val="28"/>
          <w:szCs w:val="28"/>
          <w:highlight w:val="none"/>
        </w:rPr>
        <w:t>。</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sz w:val="28"/>
          <w:szCs w:val="28"/>
          <w:highlight w:val="none"/>
        </w:rPr>
      </w:pPr>
      <w:bookmarkStart w:id="32" w:name="_Toc71877712"/>
      <w:bookmarkStart w:id="33" w:name="_Toc123786834"/>
      <w:bookmarkStart w:id="34" w:name="_Toc42923344"/>
      <w:r>
        <w:rPr>
          <w:rFonts w:hint="eastAsia" w:ascii="宋体" w:hAnsi="宋体" w:eastAsia="宋体" w:cs="宋体"/>
          <w:b/>
          <w:sz w:val="28"/>
          <w:szCs w:val="28"/>
          <w:highlight w:val="none"/>
        </w:rPr>
        <w:t>三、</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投标文件</w:t>
      </w:r>
      <w:bookmarkEnd w:id="32"/>
      <w:bookmarkEnd w:id="33"/>
      <w:bookmarkEnd w:id="34"/>
    </w:p>
    <w:p>
      <w:pPr>
        <w:spacing w:beforeLines="0" w:afterLines="0" w:line="500" w:lineRule="exact"/>
        <w:rPr>
          <w:rFonts w:ascii="宋体" w:hAnsi="宋体" w:eastAsia="宋体" w:cs="宋体"/>
          <w:sz w:val="28"/>
          <w:szCs w:val="28"/>
          <w:highlight w:val="none"/>
        </w:rPr>
      </w:pPr>
      <w:bookmarkStart w:id="35" w:name="_Toc42923345"/>
      <w:bookmarkStart w:id="36" w:name="_Toc71877713"/>
      <w:bookmarkStart w:id="37" w:name="_Toc123786835"/>
      <w:r>
        <w:rPr>
          <w:rFonts w:hint="eastAsia" w:ascii="宋体" w:hAnsi="宋体" w:eastAsia="宋体" w:cs="宋体"/>
          <w:sz w:val="28"/>
          <w:szCs w:val="28"/>
          <w:highlight w:val="none"/>
        </w:rPr>
        <w:t>10.投标的语言</w:t>
      </w:r>
      <w:bookmarkEnd w:id="35"/>
      <w:bookmarkEnd w:id="36"/>
      <w:bookmarkEnd w:id="3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sz w:val="28"/>
          <w:szCs w:val="28"/>
          <w:highlight w:val="none"/>
        </w:rPr>
      </w:pPr>
      <w:bookmarkStart w:id="38" w:name="_Toc71877714"/>
      <w:bookmarkStart w:id="39" w:name="_Toc123786836"/>
      <w:bookmarkStart w:id="40" w:name="_Toc42923346"/>
      <w:r>
        <w:rPr>
          <w:rFonts w:hint="eastAsia" w:ascii="宋体" w:hAnsi="宋体" w:eastAsia="宋体" w:cs="宋体"/>
          <w:sz w:val="28"/>
          <w:szCs w:val="28"/>
          <w:highlight w:val="none"/>
        </w:rPr>
        <w:t>11.投标文件构成</w:t>
      </w:r>
      <w:bookmarkEnd w:id="38"/>
      <w:bookmarkEnd w:id="39"/>
      <w:bookmarkEnd w:id="4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11.1 投标人编写的投标文件应包括下列内容：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1）投标文件包括：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投标函</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投标人资格资料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授权委托书</w:t>
      </w:r>
    </w:p>
    <w:p>
      <w:pPr>
        <w:spacing w:beforeLines="0" w:afterLines="0" w:line="500" w:lineRule="exact"/>
        <w:rPr>
          <w:sz w:val="28"/>
          <w:szCs w:val="28"/>
          <w:highlight w:val="none"/>
        </w:rPr>
      </w:pPr>
      <w:r>
        <w:rPr>
          <w:rFonts w:hint="eastAsia" w:ascii="Calibri" w:hAnsi="Calibri" w:eastAsia="宋体" w:cs="宋体"/>
          <w:sz w:val="28"/>
          <w:szCs w:val="28"/>
          <w:highlight w:val="none"/>
        </w:rPr>
        <w:t>营业执照（复印件加盖公章）</w:t>
      </w:r>
    </w:p>
    <w:p>
      <w:pPr>
        <w:spacing w:beforeLines="0" w:afterLines="0" w:line="500" w:lineRule="exact"/>
        <w:rPr>
          <w:sz w:val="28"/>
          <w:szCs w:val="28"/>
          <w:highlight w:val="none"/>
        </w:rPr>
      </w:pPr>
      <w:r>
        <w:rPr>
          <w:rFonts w:hint="eastAsia" w:ascii="Calibri" w:hAnsi="Calibri" w:eastAsia="宋体" w:cs="宋体"/>
          <w:sz w:val="28"/>
          <w:szCs w:val="28"/>
          <w:highlight w:val="none"/>
        </w:rPr>
        <w:t>资质证书（复印件加盖公章）</w:t>
      </w:r>
    </w:p>
    <w:p>
      <w:pPr>
        <w:spacing w:beforeLines="0" w:afterLines="0" w:line="500" w:lineRule="exact"/>
        <w:rPr>
          <w:sz w:val="28"/>
          <w:szCs w:val="28"/>
          <w:highlight w:val="none"/>
        </w:rPr>
      </w:pPr>
      <w:r>
        <w:rPr>
          <w:rFonts w:hint="eastAsia" w:ascii="Calibri" w:hAnsi="Calibri" w:eastAsia="宋体" w:cs="宋体"/>
          <w:sz w:val="28"/>
          <w:szCs w:val="28"/>
          <w:highlight w:val="none"/>
        </w:rPr>
        <w:t>安全生产许可证（复印件加盖公章）</w:t>
      </w:r>
    </w:p>
    <w:p>
      <w:pPr>
        <w:adjustRightInd w:val="0"/>
        <w:snapToGrid w:val="0"/>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拟派项目负责人及其他管理人员（其中具有资质专业安全人员、质量人员资格证书为不可缺少人员资料）（复印件加盖公章）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2）招采文件要求的其他资料；</w:t>
      </w:r>
    </w:p>
    <w:p>
      <w:pPr>
        <w:spacing w:beforeLines="0" w:afterLines="0" w:line="500" w:lineRule="exact"/>
        <w:rPr>
          <w:rFonts w:ascii="宋体" w:hAnsi="宋体" w:eastAsia="宋体" w:cs="宋体"/>
          <w:sz w:val="28"/>
          <w:szCs w:val="28"/>
          <w:highlight w:val="none"/>
        </w:rPr>
      </w:pPr>
      <w:bookmarkStart w:id="41" w:name="_Toc123786837"/>
      <w:bookmarkStart w:id="42" w:name="_Toc71877716"/>
      <w:bookmarkStart w:id="43" w:name="_Toc42923348"/>
      <w:r>
        <w:rPr>
          <w:rFonts w:hint="eastAsia" w:ascii="宋体" w:hAnsi="宋体" w:eastAsia="宋体" w:cs="宋体"/>
          <w:sz w:val="28"/>
          <w:szCs w:val="28"/>
          <w:highlight w:val="none"/>
        </w:rPr>
        <w:t>12.投标书</w:t>
      </w:r>
      <w:bookmarkEnd w:id="4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12.1投标人应以招采文件指定的格式完整地填写招采文件中提供的投标表格。</w:t>
      </w:r>
    </w:p>
    <w:p>
      <w:pPr>
        <w:spacing w:beforeLines="0" w:afterLines="0" w:line="500" w:lineRule="exact"/>
        <w:rPr>
          <w:b/>
          <w:sz w:val="28"/>
          <w:szCs w:val="28"/>
          <w:highlight w:val="none"/>
        </w:rPr>
      </w:pPr>
      <w:bookmarkStart w:id="44" w:name="_Toc123786838"/>
      <w:r>
        <w:rPr>
          <w:rFonts w:hint="eastAsia" w:ascii="宋体" w:hAnsi="宋体" w:eastAsia="宋体" w:cs="宋体"/>
          <w:sz w:val="28"/>
          <w:szCs w:val="28"/>
          <w:highlight w:val="none"/>
        </w:rPr>
        <w:t>13.投标报价</w:t>
      </w:r>
      <w:bookmarkEnd w:id="42"/>
      <w:bookmarkEnd w:id="43"/>
      <w:bookmarkEnd w:id="44"/>
      <w:r>
        <w:rPr>
          <w:rFonts w:hint="eastAsia" w:ascii="宋体" w:hAnsi="宋体" w:eastAsia="宋体" w:cs="宋体"/>
          <w:sz w:val="28"/>
          <w:szCs w:val="28"/>
          <w:highlight w:val="none"/>
        </w:rPr>
        <w:t>及货币</w:t>
      </w:r>
      <w:r>
        <w:rPr>
          <w:rFonts w:hint="eastAsia" w:ascii="Calibri" w:hAnsi="Calibri" w:eastAsia="宋体" w:cs="宋体"/>
          <w:sz w:val="28"/>
          <w:szCs w:val="22"/>
          <w:highlight w:val="none"/>
        </w:rPr>
        <w:t>、结算</w:t>
      </w:r>
      <w:r>
        <w:rPr>
          <w:rFonts w:hint="eastAsia" w:ascii="Calibri" w:hAnsi="Calibri" w:eastAsia="宋体" w:cs="宋体"/>
          <w:sz w:val="28"/>
          <w:szCs w:val="22"/>
          <w:highlight w:val="none"/>
          <w:lang w:eastAsia="zh-CN"/>
        </w:rPr>
        <w:t>：详见投标人须知前附表</w:t>
      </w:r>
    </w:p>
    <w:p>
      <w:pPr>
        <w:spacing w:beforeLines="0" w:afterLines="0" w:line="500" w:lineRule="exact"/>
        <w:rPr>
          <w:sz w:val="28"/>
          <w:szCs w:val="28"/>
          <w:highlight w:val="none"/>
        </w:rPr>
      </w:pPr>
      <w:r>
        <w:rPr>
          <w:rFonts w:ascii="Calibri" w:hAnsi="Calibri" w:eastAsia="宋体" w:cs="Times New Roman"/>
          <w:sz w:val="28"/>
          <w:szCs w:val="28"/>
          <w:highlight w:val="none"/>
        </w:rPr>
        <w:t>13.</w:t>
      </w:r>
      <w:r>
        <w:rPr>
          <w:rFonts w:hint="eastAsia" w:ascii="Calibri" w:hAnsi="Calibri" w:eastAsia="宋体" w:cs="Times New Roman"/>
          <w:sz w:val="28"/>
          <w:szCs w:val="28"/>
          <w:highlight w:val="none"/>
          <w:lang w:val="en-US" w:eastAsia="zh-CN"/>
        </w:rPr>
        <w:t>1</w:t>
      </w:r>
      <w:r>
        <w:rPr>
          <w:rFonts w:hint="eastAsia" w:ascii="Calibri" w:hAnsi="Calibri" w:eastAsia="宋体" w:cs="宋体"/>
          <w:sz w:val="28"/>
          <w:szCs w:val="22"/>
          <w:highlight w:val="none"/>
        </w:rPr>
        <w:t>投标文件货币</w:t>
      </w:r>
    </w:p>
    <w:p>
      <w:pPr>
        <w:spacing w:beforeLines="0" w:afterLines="0" w:line="500" w:lineRule="exact"/>
        <w:rPr>
          <w:rFonts w:ascii="宋体" w:hAnsi="宋体" w:eastAsia="宋体" w:cs="宋体"/>
          <w:sz w:val="28"/>
          <w:szCs w:val="28"/>
          <w:highlight w:val="none"/>
        </w:rPr>
      </w:pPr>
      <w:r>
        <w:rPr>
          <w:rFonts w:hint="eastAsia" w:ascii="Calibri" w:hAnsi="Calibri" w:eastAsia="宋体" w:cs="宋体"/>
          <w:bCs/>
          <w:sz w:val="28"/>
          <w:szCs w:val="32"/>
          <w:highlight w:val="none"/>
        </w:rPr>
        <w:t>本工程的投标文件应以人民币报价、结算。</w:t>
      </w:r>
    </w:p>
    <w:p>
      <w:pPr>
        <w:spacing w:beforeLines="0" w:afterLines="0" w:line="500" w:lineRule="exact"/>
        <w:rPr>
          <w:rFonts w:ascii="宋体" w:hAnsi="宋体" w:eastAsia="宋体" w:cs="宋体"/>
          <w:sz w:val="28"/>
          <w:szCs w:val="28"/>
          <w:highlight w:val="none"/>
        </w:rPr>
      </w:pPr>
      <w:bookmarkStart w:id="45" w:name="_Toc123786839"/>
      <w:bookmarkStart w:id="46" w:name="_Toc42923349"/>
      <w:bookmarkStart w:id="47" w:name="_Toc71877717"/>
      <w:r>
        <w:rPr>
          <w:rFonts w:hint="eastAsia" w:ascii="宋体" w:hAnsi="宋体" w:eastAsia="宋体" w:cs="宋体"/>
          <w:sz w:val="28"/>
          <w:szCs w:val="28"/>
          <w:highlight w:val="none"/>
        </w:rPr>
        <w:t>14.证明投标人合格的文件</w:t>
      </w:r>
      <w:bookmarkEnd w:id="45"/>
      <w:bookmarkEnd w:id="46"/>
      <w:bookmarkEnd w:id="47"/>
    </w:p>
    <w:p>
      <w:pPr>
        <w:spacing w:beforeLines="0" w:afterLines="0" w:line="500" w:lineRule="exact"/>
        <w:rPr>
          <w:rFonts w:ascii="宋体" w:hAnsi="宋体" w:cs="宋体"/>
          <w:sz w:val="28"/>
          <w:szCs w:val="28"/>
          <w:highlight w:val="none"/>
        </w:rPr>
      </w:pPr>
      <w:bookmarkStart w:id="48" w:name="_Toc71877721"/>
      <w:bookmarkStart w:id="49" w:name="_Toc42923353"/>
      <w:bookmarkStart w:id="50" w:name="_Toc123786843"/>
      <w:r>
        <w:rPr>
          <w:rFonts w:hint="eastAsia" w:ascii="宋体" w:hAnsi="宋体" w:cs="宋体"/>
          <w:sz w:val="28"/>
          <w:szCs w:val="28"/>
          <w:highlight w:val="none"/>
        </w:rPr>
        <w:t>14.1投标人应提交证明其有资格参加投标的文件，并作为其投标文件的一部分。</w:t>
      </w:r>
    </w:p>
    <w:p>
      <w:pPr>
        <w:spacing w:beforeLines="0" w:afterLines="0" w:line="500" w:lineRule="exact"/>
        <w:rPr>
          <w:rFonts w:ascii="宋体" w:hAnsi="宋体" w:cs="宋体"/>
          <w:sz w:val="28"/>
          <w:szCs w:val="28"/>
          <w:highlight w:val="none"/>
        </w:rPr>
      </w:pPr>
      <w:r>
        <w:rPr>
          <w:rFonts w:hint="eastAsia" w:ascii="宋体" w:hAnsi="宋体" w:cs="宋体"/>
          <w:sz w:val="28"/>
          <w:szCs w:val="28"/>
          <w:highlight w:val="none"/>
        </w:rPr>
        <w:t>14.2投标人提交的证明文件应是合法有效的。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15.投标文件的式样和签署</w:t>
      </w:r>
      <w:bookmarkEnd w:id="48"/>
      <w:bookmarkEnd w:id="49"/>
      <w:bookmarkEnd w:id="5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15.1投标人应准备一份投标文件正本和一份投标文件副本。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sz w:val="28"/>
          <w:szCs w:val="28"/>
          <w:highlight w:val="none"/>
        </w:rPr>
      </w:pPr>
      <w:bookmarkStart w:id="51" w:name="_Toc71877722"/>
      <w:bookmarkStart w:id="52" w:name="_Toc42923354"/>
      <w:bookmarkStart w:id="53" w:name="_Toc123786844"/>
      <w:r>
        <w:rPr>
          <w:rFonts w:hint="eastAsia" w:ascii="宋体" w:hAnsi="宋体" w:eastAsia="宋体" w:cs="宋体"/>
          <w:b/>
          <w:sz w:val="28"/>
          <w:szCs w:val="28"/>
          <w:highlight w:val="none"/>
        </w:rPr>
        <w:t>四、投标文件的递交</w:t>
      </w:r>
      <w:bookmarkEnd w:id="51"/>
      <w:bookmarkEnd w:id="52"/>
      <w:bookmarkEnd w:id="53"/>
    </w:p>
    <w:p>
      <w:pPr>
        <w:spacing w:beforeLines="0" w:afterLines="0" w:line="500" w:lineRule="exact"/>
        <w:rPr>
          <w:rFonts w:ascii="宋体" w:hAnsi="宋体" w:eastAsia="宋体" w:cs="宋体"/>
          <w:sz w:val="28"/>
          <w:szCs w:val="28"/>
          <w:highlight w:val="none"/>
        </w:rPr>
      </w:pPr>
      <w:bookmarkStart w:id="54" w:name="_Toc71877723"/>
      <w:bookmarkStart w:id="55" w:name="_Toc42923355"/>
      <w:bookmarkStart w:id="56" w:name="_Toc123786845"/>
      <w:r>
        <w:rPr>
          <w:rFonts w:hint="eastAsia" w:ascii="宋体" w:hAnsi="宋体" w:eastAsia="宋体" w:cs="宋体"/>
          <w:sz w:val="28"/>
          <w:szCs w:val="28"/>
          <w:highlight w:val="none"/>
        </w:rPr>
        <w:t>17.投标文件的密封和标记</w:t>
      </w:r>
      <w:bookmarkEnd w:id="54"/>
      <w:bookmarkEnd w:id="55"/>
      <w:bookmarkEnd w:id="56"/>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17.1投标文件应密封在不透明的封装中。</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17.2密封封装表面按投标文件封面格式填写。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17.3如果外层信封未按本须知第17.2条要求密封，招采人对误投或过早启封概不负责。</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17.4投标文件未密封的，招采人将拒绝接收。</w:t>
      </w:r>
    </w:p>
    <w:p>
      <w:pPr>
        <w:spacing w:beforeLines="0" w:afterLines="0" w:line="500" w:lineRule="exact"/>
        <w:rPr>
          <w:rFonts w:ascii="宋体" w:hAnsi="宋体" w:eastAsia="宋体" w:cs="宋体"/>
          <w:sz w:val="28"/>
          <w:szCs w:val="28"/>
          <w:highlight w:val="none"/>
        </w:rPr>
      </w:pPr>
      <w:bookmarkStart w:id="57" w:name="_Toc71877724"/>
      <w:bookmarkStart w:id="58" w:name="_Toc123786846"/>
      <w:bookmarkStart w:id="59" w:name="_Toc42923356"/>
      <w:r>
        <w:rPr>
          <w:rFonts w:hint="eastAsia" w:ascii="宋体" w:hAnsi="宋体" w:eastAsia="宋体" w:cs="宋体"/>
          <w:sz w:val="28"/>
          <w:szCs w:val="28"/>
          <w:highlight w:val="none"/>
        </w:rPr>
        <w:t>18.</w:t>
      </w:r>
      <w:bookmarkEnd w:id="57"/>
      <w:bookmarkEnd w:id="58"/>
      <w:bookmarkEnd w:id="59"/>
      <w:r>
        <w:rPr>
          <w:rFonts w:hint="eastAsia" w:ascii="宋体" w:hAnsi="宋体" w:eastAsia="宋体" w:cs="宋体"/>
          <w:sz w:val="28"/>
          <w:szCs w:val="28"/>
          <w:highlight w:val="none"/>
        </w:rPr>
        <w:t>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18.1招采人收到投标文件的时间应不迟于《投标人须知前附表》中规定的投标截止时间。</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18.2招采人可以按本须知第9条规定，由于修改招采文件而决定延长投标截止时间。在此情况下，招采人和投标人受投标截止时间制约的所有权利和义务均应延长至新的投标截止时间。</w:t>
      </w:r>
    </w:p>
    <w:p>
      <w:pPr>
        <w:spacing w:beforeLines="0" w:afterLines="0" w:line="500" w:lineRule="exact"/>
        <w:rPr>
          <w:rFonts w:ascii="宋体" w:hAnsi="宋体" w:eastAsia="宋体" w:cs="宋体"/>
          <w:sz w:val="28"/>
          <w:szCs w:val="28"/>
          <w:highlight w:val="none"/>
        </w:rPr>
      </w:pPr>
      <w:bookmarkStart w:id="60" w:name="_Toc123786847"/>
      <w:bookmarkStart w:id="61" w:name="_Toc71877725"/>
      <w:bookmarkStart w:id="62" w:name="_Toc42923357"/>
      <w:r>
        <w:rPr>
          <w:rFonts w:hint="eastAsia" w:ascii="宋体" w:hAnsi="宋体" w:eastAsia="宋体" w:cs="宋体"/>
          <w:sz w:val="28"/>
          <w:szCs w:val="28"/>
          <w:highlight w:val="none"/>
        </w:rPr>
        <w:t>19.迟交的投标文件</w:t>
      </w:r>
      <w:bookmarkEnd w:id="60"/>
      <w:bookmarkEnd w:id="61"/>
      <w:bookmarkEnd w:id="62"/>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19.1招采人将拒绝并退回在“投标人须知前附表”规定的投标截止时间后收到的任何投标文件。</w:t>
      </w:r>
    </w:p>
    <w:p>
      <w:pPr>
        <w:spacing w:beforeLines="0" w:afterLines="0" w:line="500" w:lineRule="exact"/>
        <w:rPr>
          <w:rFonts w:ascii="宋体" w:hAnsi="宋体" w:eastAsia="宋体" w:cs="宋体"/>
          <w:sz w:val="28"/>
          <w:szCs w:val="28"/>
          <w:highlight w:val="none"/>
        </w:rPr>
      </w:pPr>
      <w:bookmarkStart w:id="63" w:name="_Toc123786848"/>
      <w:bookmarkStart w:id="64" w:name="_Toc71877726"/>
      <w:bookmarkStart w:id="65" w:name="_Toc42923358"/>
      <w:r>
        <w:rPr>
          <w:rFonts w:hint="eastAsia" w:ascii="宋体" w:hAnsi="宋体" w:eastAsia="宋体" w:cs="宋体"/>
          <w:sz w:val="28"/>
          <w:szCs w:val="28"/>
          <w:highlight w:val="none"/>
        </w:rPr>
        <w:t>20.投标文件的修改与撤回</w:t>
      </w:r>
      <w:bookmarkEnd w:id="63"/>
      <w:bookmarkEnd w:id="64"/>
      <w:bookmarkEnd w:id="6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20.1投标人在递交投标文件后，可以修改或撤回其投标文件，但投标人必须在规定的投标截止时间之前将修改或撤回的书面通知递交到招采人。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20.2在投标截止时间之后，投标人不得对其投标文件做任何修改。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20.3在投标截止时间之后，投标人不得撤回其投标文件。</w:t>
      </w:r>
    </w:p>
    <w:p>
      <w:pPr>
        <w:spacing w:beforeLines="0" w:afterLines="0" w:line="500" w:lineRule="exact"/>
        <w:rPr>
          <w:rFonts w:ascii="宋体" w:hAnsi="宋体" w:eastAsia="宋体" w:cs="宋体"/>
          <w:b/>
          <w:sz w:val="28"/>
          <w:szCs w:val="28"/>
          <w:highlight w:val="none"/>
        </w:rPr>
      </w:pPr>
      <w:bookmarkStart w:id="66" w:name="_Toc42923359"/>
      <w:bookmarkStart w:id="67" w:name="_Toc123786849"/>
      <w:bookmarkStart w:id="68" w:name="_Toc71877727"/>
      <w:r>
        <w:rPr>
          <w:rFonts w:hint="eastAsia" w:ascii="宋体" w:hAnsi="宋体" w:eastAsia="宋体" w:cs="宋体"/>
          <w:b/>
          <w:sz w:val="28"/>
          <w:szCs w:val="28"/>
          <w:highlight w:val="none"/>
        </w:rPr>
        <w:t>五、开标与</w:t>
      </w:r>
      <w:bookmarkEnd w:id="66"/>
      <w:bookmarkEnd w:id="67"/>
      <w:bookmarkEnd w:id="68"/>
      <w:r>
        <w:rPr>
          <w:rFonts w:hint="eastAsia" w:ascii="宋体" w:hAnsi="宋体" w:eastAsia="宋体" w:cs="宋体"/>
          <w:b/>
          <w:sz w:val="28"/>
          <w:szCs w:val="28"/>
          <w:highlight w:val="none"/>
        </w:rPr>
        <w:t>评审</w:t>
      </w:r>
    </w:p>
    <w:p>
      <w:pPr>
        <w:spacing w:beforeLines="0" w:afterLines="0" w:line="500" w:lineRule="exact"/>
        <w:rPr>
          <w:rFonts w:ascii="宋体" w:hAnsi="宋体" w:eastAsia="宋体" w:cs="宋体"/>
          <w:sz w:val="28"/>
          <w:szCs w:val="28"/>
          <w:highlight w:val="none"/>
        </w:rPr>
      </w:pPr>
      <w:bookmarkStart w:id="69" w:name="_Toc42923360"/>
      <w:bookmarkStart w:id="70" w:name="_Toc71877728"/>
      <w:bookmarkStart w:id="71" w:name="_Toc123786850"/>
      <w:r>
        <w:rPr>
          <w:rFonts w:hint="eastAsia" w:ascii="宋体" w:hAnsi="宋体" w:eastAsia="宋体" w:cs="宋体"/>
          <w:sz w:val="28"/>
          <w:szCs w:val="28"/>
          <w:highlight w:val="none"/>
        </w:rPr>
        <w:t>21.开标</w:t>
      </w:r>
      <w:bookmarkEnd w:id="69"/>
      <w:bookmarkEnd w:id="70"/>
      <w:r>
        <w:rPr>
          <w:rFonts w:hint="eastAsia" w:ascii="宋体" w:hAnsi="宋体" w:eastAsia="宋体" w:cs="宋体"/>
          <w:sz w:val="28"/>
          <w:szCs w:val="28"/>
          <w:highlight w:val="none"/>
        </w:rPr>
        <w:t>一般规定</w:t>
      </w:r>
      <w:bookmarkEnd w:id="7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21.1按规定提交合格的撤回通知的投标文件不予开封，并退回投标人。</w:t>
      </w:r>
    </w:p>
    <w:p>
      <w:pPr>
        <w:spacing w:beforeLines="0" w:afterLines="0" w:line="500" w:lineRule="exact"/>
        <w:rPr>
          <w:rFonts w:ascii="宋体" w:hAnsi="宋体" w:eastAsia="宋体" w:cs="宋体"/>
          <w:sz w:val="28"/>
          <w:szCs w:val="28"/>
          <w:highlight w:val="none"/>
        </w:rPr>
      </w:pPr>
      <w:bookmarkStart w:id="72" w:name="_Toc42923361"/>
      <w:bookmarkStart w:id="73" w:name="_Toc71877729"/>
      <w:bookmarkStart w:id="74" w:name="_Toc123786851"/>
      <w:r>
        <w:rPr>
          <w:rFonts w:hint="eastAsia" w:ascii="宋体" w:hAnsi="宋体" w:eastAsia="宋体" w:cs="宋体"/>
          <w:sz w:val="28"/>
          <w:szCs w:val="28"/>
          <w:highlight w:val="none"/>
        </w:rPr>
        <w:t>22.</w:t>
      </w:r>
      <w:bookmarkEnd w:id="72"/>
      <w:bookmarkEnd w:id="73"/>
      <w:r>
        <w:rPr>
          <w:rFonts w:hint="eastAsia" w:ascii="宋体" w:hAnsi="宋体" w:eastAsia="宋体" w:cs="宋体"/>
          <w:sz w:val="28"/>
          <w:szCs w:val="28"/>
          <w:highlight w:val="none"/>
        </w:rPr>
        <w:t>符合性</w:t>
      </w:r>
      <w:bookmarkEnd w:id="74"/>
      <w:r>
        <w:rPr>
          <w:rFonts w:hint="eastAsia" w:ascii="宋体" w:hAnsi="宋体" w:eastAsia="宋体" w:cs="宋体"/>
          <w:sz w:val="28"/>
          <w:szCs w:val="28"/>
          <w:highlight w:val="none"/>
        </w:rPr>
        <w:t>评审</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22.1评审工作小组对投标人的投标资格及投标文件进行符合性评审。经评审工作小组确认具有有效投标资格及有效投标文件的投标人不足3家时将重新组织招采。</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22.2开启标书前，经评审工作小组确认存在下列情况之一的投标人将被取消投标资格：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投标文件未能于投标截止之前递交至指定地点；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lang w:val="en-US" w:eastAsia="zh-CN"/>
        </w:rPr>
        <w:t>2</w:t>
      </w:r>
      <w:r>
        <w:rPr>
          <w:rFonts w:hint="eastAsia" w:ascii="宋体" w:hAnsi="宋体" w:eastAsia="宋体" w:cs="宋体"/>
          <w:bCs/>
          <w:sz w:val="28"/>
          <w:szCs w:val="28"/>
          <w:highlight w:val="none"/>
        </w:rPr>
        <w:t>）</w:t>
      </w:r>
      <w:r>
        <w:rPr>
          <w:rFonts w:hint="eastAsia" w:ascii="宋体" w:hAnsi="宋体" w:eastAsia="宋体" w:cs="宋体"/>
          <w:sz w:val="28"/>
          <w:szCs w:val="28"/>
          <w:highlight w:val="none"/>
        </w:rPr>
        <w:t>投标文件未密封。</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22.3开启标书后，经评审组确认有下列情况之一的为无效投标文件：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bCs/>
          <w:sz w:val="28"/>
          <w:szCs w:val="28"/>
          <w:highlight w:val="none"/>
        </w:rPr>
        <w:t>1）</w:t>
      </w:r>
      <w:r>
        <w:rPr>
          <w:rFonts w:hint="eastAsia" w:ascii="宋体" w:hAnsi="宋体" w:eastAsia="宋体" w:cs="宋体"/>
          <w:sz w:val="28"/>
          <w:szCs w:val="28"/>
          <w:highlight w:val="none"/>
        </w:rPr>
        <w:t>投标文件中要求盖章签字的指定位置未签字或未加盖投标人公章；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2）投标文件不符合招采文件规定的报价、工期、质量标准、技术规格、技术标准或其它实质性要求； </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w:t>
      </w:r>
      <w:r>
        <w:rPr>
          <w:rFonts w:hint="eastAsia" w:ascii="宋体" w:hAnsi="宋体" w:eastAsia="宋体" w:cs="宋体"/>
          <w:sz w:val="28"/>
          <w:szCs w:val="28"/>
          <w:highlight w:val="none"/>
        </w:rPr>
        <w:t>投标文件未按招采文件规定格式编制，重要内容或关键字迹模糊不清；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4）投标文件中存在招采人不能接受的其它条件或提供虚假文件；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 投标文件提交的资格资料名称、名字与资格审查申请书所提供的资格资料不符或与其他投标人串通投标的；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 两个以上的投标报价的。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22.4无效投标文件将被作为废标处理。</w:t>
      </w:r>
    </w:p>
    <w:p>
      <w:pPr>
        <w:spacing w:beforeLines="0" w:afterLines="0" w:line="500" w:lineRule="exact"/>
        <w:rPr>
          <w:rFonts w:ascii="宋体" w:hAnsi="宋体" w:eastAsia="宋体" w:cs="宋体"/>
          <w:sz w:val="28"/>
          <w:szCs w:val="28"/>
          <w:highlight w:val="none"/>
        </w:rPr>
      </w:pPr>
      <w:bookmarkStart w:id="75" w:name="_Toc42923362"/>
      <w:bookmarkStart w:id="76" w:name="_Toc123786852"/>
      <w:bookmarkStart w:id="77" w:name="_Toc71877730"/>
      <w:r>
        <w:rPr>
          <w:rFonts w:hint="eastAsia" w:ascii="宋体" w:hAnsi="宋体" w:eastAsia="宋体" w:cs="宋体"/>
          <w:sz w:val="28"/>
          <w:szCs w:val="28"/>
          <w:highlight w:val="none"/>
        </w:rPr>
        <w:t>23.投标文件的澄清</w:t>
      </w:r>
      <w:bookmarkEnd w:id="75"/>
      <w:bookmarkEnd w:id="76"/>
      <w:bookmarkEnd w:id="7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23.1开标以后，招采人可要求投标人对其投标文件进行澄清，但不得寻求、提供或允许对投标价格等实质性内容做任何更改。有关澄清的要求和答复均应以书面形式提交。</w:t>
      </w:r>
    </w:p>
    <w:p>
      <w:pPr>
        <w:spacing w:beforeLines="0" w:afterLines="0" w:line="500" w:lineRule="exact"/>
        <w:rPr>
          <w:rFonts w:ascii="宋体" w:hAnsi="宋体" w:eastAsia="宋体" w:cs="宋体"/>
          <w:sz w:val="28"/>
          <w:szCs w:val="28"/>
          <w:highlight w:val="none"/>
        </w:rPr>
      </w:pPr>
      <w:bookmarkStart w:id="78" w:name="_Toc42923363"/>
      <w:bookmarkStart w:id="79" w:name="_Toc71877731"/>
      <w:bookmarkStart w:id="80" w:name="_Toc123786853"/>
      <w:r>
        <w:rPr>
          <w:rFonts w:hint="eastAsia" w:ascii="宋体" w:hAnsi="宋体" w:eastAsia="宋体" w:cs="宋体"/>
          <w:sz w:val="28"/>
          <w:szCs w:val="28"/>
          <w:highlight w:val="none"/>
        </w:rPr>
        <w:t>24.</w:t>
      </w:r>
      <w:bookmarkEnd w:id="78"/>
      <w:bookmarkEnd w:id="79"/>
      <w:r>
        <w:rPr>
          <w:rFonts w:hint="eastAsia" w:ascii="宋体" w:hAnsi="宋体" w:eastAsia="宋体" w:cs="宋体"/>
          <w:sz w:val="28"/>
          <w:szCs w:val="28"/>
          <w:highlight w:val="none"/>
        </w:rPr>
        <w:t>开标程序</w:t>
      </w:r>
      <w:bookmarkEnd w:id="8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 xml:space="preserve">24.1开标会议由招采工作小组主持： </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1)主持人宣布开标会议注意事项；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2)主持人宣布参加开标会议人员组成情况；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3)主持人宣布《投标文件》送达情况；</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4)招采工作小组代表对各投标人《投标文件》的密封情况进行检查，宣布检查结果；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5)招采工作小组</w:t>
      </w:r>
      <w:r>
        <w:rPr>
          <w:rFonts w:hint="eastAsia" w:ascii="宋体" w:hAnsi="宋体" w:eastAsia="宋体" w:cs="宋体"/>
          <w:sz w:val="28"/>
          <w:szCs w:val="28"/>
          <w:highlight w:val="none"/>
          <w:lang w:eastAsia="zh-CN"/>
        </w:rPr>
        <w:t>单独</w:t>
      </w:r>
      <w:r>
        <w:rPr>
          <w:rFonts w:hint="eastAsia" w:ascii="宋体" w:hAnsi="宋体" w:eastAsia="宋体" w:cs="宋体"/>
          <w:sz w:val="28"/>
          <w:szCs w:val="28"/>
          <w:highlight w:val="none"/>
        </w:rPr>
        <w:t>开启相应投标人的《投标文件》；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6)评审工作小组逐一对各投标人的《投标文件》进行符合性检查，并宣布检查结果；</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7)评审工作小组逐项公布符合要求的各投标人的投标总报价和质量标准等；</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8)评审工作小组按投标人须知前附表中确定的评审办法确定中选候选人排名顺序；</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9)评审工作小组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宋体" w:hAnsi="宋体" w:eastAsia="宋体" w:cs="宋体"/>
          <w:sz w:val="28"/>
          <w:szCs w:val="28"/>
          <w:highlight w:val="none"/>
        </w:rPr>
        <w:t>填写评审报告并签字。</w:t>
      </w:r>
    </w:p>
    <w:p>
      <w:pPr>
        <w:spacing w:beforeLines="0" w:afterLines="0" w:line="500" w:lineRule="exact"/>
        <w:rPr>
          <w:rFonts w:ascii="宋体" w:hAnsi="宋体" w:eastAsia="宋体" w:cs="宋体"/>
          <w:sz w:val="28"/>
          <w:szCs w:val="28"/>
          <w:highlight w:val="none"/>
        </w:rPr>
      </w:pPr>
      <w:bookmarkStart w:id="81" w:name="_Toc123786854"/>
      <w:r>
        <w:rPr>
          <w:rFonts w:hint="eastAsia" w:ascii="宋体" w:hAnsi="宋体" w:eastAsia="宋体" w:cs="宋体"/>
          <w:sz w:val="28"/>
          <w:szCs w:val="28"/>
          <w:highlight w:val="none"/>
        </w:rPr>
        <w:t>25.评审一般规定</w:t>
      </w:r>
      <w:bookmarkEnd w:id="8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25.1评审组由集团公司国内工程部、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25.2评审工作小组须按投标人须知前附表中所述评审办法，公平、公正、择优确定中选人。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25.4参加评审会议的人员应对评审全过程的一切相关资料及信息进行保密，不得向任何人员泄露（法律、法规另有规定的情形除外）。</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25.5在投标文件的审查、澄清、评价、比较过程中，投标人对招采人或评审委员会施加任何影响的行为，都将导致被取消投标资格。</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25.6开标后，投标文件概不退还。</w:t>
      </w:r>
    </w:p>
    <w:p>
      <w:pPr>
        <w:spacing w:beforeLines="0" w:afterLines="0" w:line="500" w:lineRule="exact"/>
        <w:rPr>
          <w:rFonts w:ascii="宋体" w:hAnsi="宋体" w:eastAsia="宋体" w:cs="宋体"/>
          <w:sz w:val="28"/>
          <w:szCs w:val="28"/>
          <w:highlight w:val="none"/>
        </w:rPr>
      </w:pPr>
      <w:bookmarkStart w:id="82" w:name="_Toc123786855"/>
      <w:r>
        <w:rPr>
          <w:rFonts w:hint="eastAsia" w:ascii="宋体" w:hAnsi="宋体" w:eastAsia="宋体" w:cs="宋体"/>
          <w:sz w:val="28"/>
          <w:szCs w:val="28"/>
          <w:highlight w:val="none"/>
        </w:rPr>
        <w:t>26.详细评审办法</w:t>
      </w:r>
      <w:bookmarkEnd w:id="8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26.1评审</w:t>
      </w:r>
      <w:r>
        <w:rPr>
          <w:rFonts w:hint="eastAsia" w:ascii="宋体" w:hAnsi="宋体" w:eastAsia="宋体" w:cs="宋体"/>
          <w:sz w:val="28"/>
          <w:szCs w:val="28"/>
          <w:highlight w:val="none"/>
          <w:lang w:eastAsia="zh-CN"/>
        </w:rPr>
        <w:t>工作小组成员</w:t>
      </w:r>
      <w:r>
        <w:rPr>
          <w:rFonts w:hint="eastAsia" w:ascii="宋体" w:hAnsi="宋体" w:eastAsia="宋体" w:cs="宋体"/>
          <w:sz w:val="28"/>
          <w:szCs w:val="28"/>
          <w:highlight w:val="none"/>
        </w:rPr>
        <w:t>将按照本须知第22条规定，只对确定为实质上响应招采文件要求的投标进行评价和比较。</w:t>
      </w:r>
    </w:p>
    <w:p>
      <w:pPr>
        <w:spacing w:beforeLines="0" w:afterLines="0"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26.2评</w:t>
      </w:r>
      <w:r>
        <w:rPr>
          <w:rFonts w:hint="eastAsia" w:ascii="宋体" w:hAnsi="宋体" w:eastAsia="宋体" w:cs="宋体"/>
          <w:sz w:val="28"/>
          <w:szCs w:val="28"/>
          <w:highlight w:val="none"/>
          <w:lang w:eastAsia="zh-CN"/>
        </w:rPr>
        <w:t>审工作小组成员</w:t>
      </w:r>
      <w:r>
        <w:rPr>
          <w:rFonts w:hint="eastAsia" w:ascii="宋体" w:hAnsi="宋体" w:eastAsia="宋体" w:cs="宋体"/>
          <w:sz w:val="28"/>
          <w:szCs w:val="28"/>
          <w:highlight w:val="none"/>
        </w:rPr>
        <w:t>按本项目“投标人须知前附表”中的《评审方法与标准》独立地对</w:t>
      </w:r>
      <w:r>
        <w:rPr>
          <w:rFonts w:hint="eastAsia" w:ascii="宋体" w:hAnsi="宋体" w:eastAsia="宋体" w:cs="宋体"/>
          <w:bCs/>
          <w:sz w:val="28"/>
          <w:szCs w:val="28"/>
          <w:highlight w:val="none"/>
        </w:rPr>
        <w:t>各投标人投标文件</w:t>
      </w:r>
      <w:r>
        <w:rPr>
          <w:rFonts w:hint="eastAsia" w:ascii="宋体" w:hAnsi="宋体" w:eastAsia="宋体" w:cs="宋体"/>
          <w:sz w:val="28"/>
          <w:szCs w:val="28"/>
          <w:highlight w:val="none"/>
        </w:rPr>
        <w:t>进行评审。</w:t>
      </w:r>
    </w:p>
    <w:p>
      <w:pPr>
        <w:numPr>
          <w:ilvl w:val="0"/>
          <w:numId w:val="3"/>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中选单位的确定</w:t>
      </w:r>
    </w:p>
    <w:p>
      <w:pPr>
        <w:numPr>
          <w:ilvl w:val="-1"/>
          <w:numId w:val="0"/>
        </w:numPr>
        <w:spacing w:beforeLines="0" w:afterLines="0" w:line="500" w:lineRule="exact"/>
        <w:rPr>
          <w:rFonts w:hint="eastAsia" w:ascii="宋体" w:hAnsi="宋体" w:eastAsia="宋体" w:cs="宋体"/>
          <w:bCs/>
          <w:sz w:val="28"/>
          <w:szCs w:val="28"/>
          <w:highlight w:val="none"/>
          <w:lang w:val="en-US" w:eastAsia="zh-CN"/>
        </w:rPr>
      </w:pPr>
      <w:r>
        <w:rPr>
          <w:rFonts w:hint="eastAsia" w:ascii="宋体" w:hAnsi="宋体" w:eastAsia="宋体" w:cs="宋体"/>
          <w:bCs/>
          <w:sz w:val="28"/>
          <w:szCs w:val="28"/>
          <w:highlight w:val="none"/>
          <w:lang w:val="en-US" w:eastAsia="zh-CN"/>
        </w:rPr>
        <w:t>27.1</w:t>
      </w:r>
      <w:r>
        <w:rPr>
          <w:rFonts w:hint="eastAsia" w:ascii="宋体" w:hAnsi="宋体" w:eastAsia="宋体" w:cs="宋体"/>
          <w:bCs/>
          <w:color w:val="auto"/>
          <w:sz w:val="28"/>
          <w:szCs w:val="28"/>
          <w:highlight w:val="none"/>
        </w:rPr>
        <w:t>公示期满</w:t>
      </w:r>
      <w:r>
        <w:rPr>
          <w:rFonts w:hint="eastAsia" w:ascii="宋体" w:hAnsi="宋体" w:eastAsia="宋体" w:cs="宋体"/>
          <w:bCs/>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sz w:val="28"/>
          <w:szCs w:val="28"/>
          <w:highlight w:val="none"/>
          <w:lang w:eastAsia="zh-CN"/>
        </w:rPr>
        <w:t>定中选单位。</w:t>
      </w:r>
    </w:p>
    <w:p>
      <w:pPr>
        <w:spacing w:beforeLines="0" w:afterLines="0" w:line="500" w:lineRule="exact"/>
        <w:rPr>
          <w:rFonts w:ascii="宋体" w:hAnsi="宋体" w:eastAsia="宋体" w:cs="宋体"/>
          <w:sz w:val="28"/>
          <w:szCs w:val="28"/>
          <w:highlight w:val="none"/>
        </w:rPr>
      </w:pPr>
      <w:bookmarkStart w:id="83" w:name="_Toc123786857"/>
      <w:bookmarkStart w:id="84" w:name="_Toc42923368"/>
      <w:bookmarkStart w:id="85" w:name="_Toc71877735"/>
      <w:r>
        <w:rPr>
          <w:rFonts w:hint="eastAsia" w:ascii="宋体" w:hAnsi="宋体" w:eastAsia="宋体" w:cs="宋体"/>
          <w:b/>
          <w:sz w:val="28"/>
          <w:szCs w:val="28"/>
          <w:highlight w:val="none"/>
        </w:rPr>
        <w:t>六、</w:t>
      </w:r>
      <w:bookmarkEnd w:id="83"/>
      <w:bookmarkEnd w:id="84"/>
      <w:bookmarkEnd w:id="85"/>
      <w:r>
        <w:rPr>
          <w:rFonts w:hint="eastAsia" w:ascii="宋体" w:hAnsi="宋体" w:eastAsia="宋体" w:cs="宋体"/>
          <w:b/>
          <w:sz w:val="28"/>
          <w:szCs w:val="28"/>
          <w:highlight w:val="none"/>
        </w:rPr>
        <w:t>中选及合同签订</w:t>
      </w:r>
    </w:p>
    <w:p>
      <w:pPr>
        <w:spacing w:beforeLines="0" w:afterLines="0" w:line="500" w:lineRule="exact"/>
        <w:rPr>
          <w:rFonts w:ascii="宋体" w:hAnsi="宋体" w:eastAsia="宋体" w:cs="宋体"/>
          <w:sz w:val="28"/>
          <w:szCs w:val="28"/>
          <w:highlight w:val="none"/>
        </w:rPr>
      </w:pPr>
      <w:bookmarkStart w:id="86" w:name="_Toc71877740"/>
      <w:bookmarkStart w:id="87" w:name="_Toc123786859"/>
      <w:bookmarkStart w:id="88" w:name="_Toc42923372"/>
      <w:bookmarkStart w:id="89" w:name="_Toc491658674"/>
      <w:bookmarkStart w:id="90" w:name="_Toc454701402"/>
      <w:bookmarkStart w:id="91" w:name="_Toc480020280"/>
      <w:bookmarkStart w:id="92" w:name="_Toc480021076"/>
      <w:bookmarkStart w:id="93" w:name="_Toc468157559"/>
      <w:bookmarkStart w:id="94" w:name="_Toc467236763"/>
      <w:bookmarkStart w:id="95" w:name="_Toc458262635"/>
      <w:bookmarkStart w:id="96" w:name="_Toc480010731"/>
      <w:bookmarkStart w:id="97" w:name="_Toc32977091"/>
      <w:bookmarkStart w:id="98" w:name="_Toc467987846"/>
      <w:bookmarkStart w:id="99" w:name="_Toc479991605"/>
      <w:bookmarkStart w:id="100" w:name="_Toc500861020"/>
      <w:bookmarkStart w:id="101" w:name="_Toc468606052"/>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.中选通知书</w:t>
      </w:r>
      <w:bookmarkEnd w:id="86"/>
      <w:bookmarkEnd w:id="87"/>
      <w:bookmarkEnd w:id="8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.1中选人确定后，招采人向中选人发出中选通知书。</w:t>
      </w:r>
    </w:p>
    <w:p>
      <w:pPr>
        <w:spacing w:beforeLines="0" w:afterLines="0" w:line="500" w:lineRule="exact"/>
        <w:rPr>
          <w:rFonts w:ascii="宋体" w:hAnsi="宋体" w:eastAsia="宋体" w:cs="宋体"/>
          <w:sz w:val="28"/>
          <w:szCs w:val="28"/>
          <w:highlight w:val="none"/>
        </w:rPr>
      </w:pPr>
      <w:bookmarkStart w:id="102" w:name="_Toc123786860"/>
      <w:bookmarkStart w:id="103" w:name="_Toc71877741"/>
      <w:bookmarkStart w:id="104" w:name="_Toc42923373"/>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.项目设计方案的优化</w:t>
      </w:r>
      <w:bookmarkEnd w:id="102"/>
    </w:p>
    <w:p>
      <w:pPr>
        <w:spacing w:beforeLines="0" w:afterLines="0" w:line="500" w:lineRule="exact"/>
        <w:rPr>
          <w:rFonts w:ascii="宋体" w:hAnsi="宋体" w:eastAsia="宋体" w:cs="宋体"/>
          <w:bCs/>
          <w:sz w:val="28"/>
          <w:szCs w:val="28"/>
          <w:highlight w:val="none"/>
        </w:rPr>
      </w:pPr>
      <w:r>
        <w:rPr>
          <w:rFonts w:hint="eastAsia" w:ascii="宋体" w:hAnsi="宋体" w:eastAsia="宋体" w:cs="宋体"/>
          <w:sz w:val="28"/>
          <w:szCs w:val="28"/>
          <w:highlight w:val="none"/>
        </w:rPr>
        <w:t>2</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highlight w:val="none"/>
        </w:rPr>
        <w:t>.1</w:t>
      </w:r>
      <w:r>
        <w:rPr>
          <w:rFonts w:hint="eastAsia" w:ascii="宋体" w:hAnsi="宋体" w:eastAsia="宋体" w:cs="宋体"/>
          <w:bCs/>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beforeLines="0" w:afterLines="0" w:line="500" w:lineRule="exact"/>
        <w:rPr>
          <w:rFonts w:ascii="宋体" w:hAnsi="宋体" w:eastAsia="宋体" w:cs="宋体"/>
          <w:sz w:val="28"/>
          <w:szCs w:val="28"/>
          <w:highlight w:val="none"/>
        </w:rPr>
      </w:pPr>
      <w:bookmarkStart w:id="105" w:name="_Toc123786861"/>
      <w:r>
        <w:rPr>
          <w:rFonts w:hint="eastAsia" w:ascii="宋体" w:hAnsi="宋体" w:eastAsia="宋体" w:cs="宋体"/>
          <w:sz w:val="28"/>
          <w:szCs w:val="28"/>
          <w:highlight w:val="none"/>
          <w:lang w:val="en-US" w:eastAsia="zh-CN"/>
        </w:rPr>
        <w:t>30</w:t>
      </w:r>
      <w:r>
        <w:rPr>
          <w:rFonts w:hint="eastAsia" w:ascii="宋体" w:hAnsi="宋体" w:eastAsia="宋体" w:cs="宋体"/>
          <w:sz w:val="28"/>
          <w:szCs w:val="28"/>
          <w:highlight w:val="none"/>
        </w:rPr>
        <w:t>.签订合同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.1中选人应按招采人约定的时间、地点与招采单位签订合同。</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2中选通知书、招采文件、中选人的投标文件及其澄清文件等，均为签订合同的依据且为合同的组成部分。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lang w:val="en-US" w:eastAsia="zh-CN"/>
        </w:rPr>
        <w:t>30</w:t>
      </w:r>
      <w:r>
        <w:rPr>
          <w:rFonts w:hint="eastAsia" w:ascii="宋体" w:hAnsi="宋体" w:eastAsia="宋体" w:cs="宋体"/>
          <w:bCs/>
          <w:sz w:val="28"/>
          <w:szCs w:val="28"/>
          <w:highlight w:val="none"/>
        </w:rPr>
        <w:t>.3招采人和中选人若无法按中选通知书规定签订施工合同时，应协商解决。协商无效时应按相关法律法规解决。</w:t>
      </w:r>
    </w:p>
    <w:p>
      <w:pPr>
        <w:widowControl/>
        <w:rPr>
          <w:rFonts w:ascii="Calibri" w:hAnsi="Calibri" w:eastAsia="宋体" w:cs="宋体"/>
          <w:b/>
          <w:sz w:val="28"/>
          <w:szCs w:val="28"/>
          <w:highlight w:val="none"/>
        </w:rPr>
      </w:pPr>
      <w:r>
        <w:rPr>
          <w:rFonts w:ascii="Calibri" w:hAnsi="Calibri" w:eastAsia="宋体" w:cs="Times New Roman"/>
          <w:b/>
          <w:sz w:val="28"/>
          <w:szCs w:val="28"/>
          <w:highlight w:val="none"/>
        </w:rPr>
        <w:br w:type="page"/>
      </w:r>
      <w:r>
        <w:rPr>
          <w:rFonts w:hint="eastAsia" w:ascii="Calibri" w:hAnsi="Calibri" w:eastAsia="宋体" w:cs="宋体"/>
          <w:b/>
          <w:sz w:val="28"/>
          <w:szCs w:val="28"/>
          <w:highlight w:val="none"/>
        </w:rPr>
        <w:t>第五部分</w:t>
      </w:r>
      <w:r>
        <w:rPr>
          <w:rFonts w:hint="eastAsia" w:ascii="Calibri" w:hAnsi="Calibri" w:eastAsia="宋体" w:cs="宋体"/>
          <w:b/>
          <w:sz w:val="28"/>
          <w:szCs w:val="28"/>
          <w:highlight w:val="none"/>
          <w:lang w:val="en-US" w:eastAsia="zh-CN"/>
        </w:rPr>
        <w:t xml:space="preserve">   </w:t>
      </w:r>
      <w:r>
        <w:rPr>
          <w:rFonts w:hint="eastAsia" w:ascii="Calibri" w:hAnsi="Calibri" w:eastAsia="宋体" w:cs="宋体"/>
          <w:b/>
          <w:sz w:val="28"/>
          <w:szCs w:val="28"/>
          <w:highlight w:val="none"/>
        </w:rPr>
        <w:t>合同范本</w:t>
      </w:r>
    </w:p>
    <w:p>
      <w:pPr>
        <w:tabs>
          <w:tab w:val="left" w:pos="670"/>
          <w:tab w:val="center" w:pos="4252"/>
        </w:tabs>
        <w:spacing w:line="360" w:lineRule="auto"/>
        <w:jc w:val="center"/>
        <w:rPr>
          <w:rFonts w:hint="eastAsia" w:ascii="Times New Roman" w:hAnsi="Times New Roman" w:eastAsia="黑体" w:cs="Times New Roman"/>
          <w:sz w:val="44"/>
          <w:szCs w:val="44"/>
        </w:rPr>
      </w:pPr>
      <w:r>
        <w:rPr>
          <w:rFonts w:hint="eastAsia" w:ascii="Times New Roman" w:hAnsi="Times New Roman" w:eastAsia="黑体" w:cs="Times New Roman"/>
          <w:sz w:val="44"/>
          <w:szCs w:val="44"/>
        </w:rPr>
        <w:t>重庆对外建设（集团）有限公司</w:t>
      </w:r>
    </w:p>
    <w:p>
      <w:pPr>
        <w:tabs>
          <w:tab w:val="left" w:pos="670"/>
          <w:tab w:val="center" w:pos="4252"/>
        </w:tabs>
        <w:spacing w:line="360" w:lineRule="auto"/>
        <w:jc w:val="center"/>
        <w:outlineLvl w:val="0"/>
        <w:rPr>
          <w:rFonts w:hint="eastAsia" w:ascii="Times New Roman" w:hAnsi="Times New Roman" w:eastAsia="黑体" w:cs="Times New Roman"/>
          <w:sz w:val="44"/>
          <w:szCs w:val="44"/>
        </w:rPr>
      </w:pPr>
      <w:r>
        <w:rPr>
          <w:rFonts w:hint="eastAsia" w:ascii="Times New Roman" w:hAnsi="Times New Roman" w:eastAsia="黑体" w:cs="Times New Roman"/>
          <w:bCs/>
          <w:kern w:val="2"/>
          <w:sz w:val="44"/>
          <w:szCs w:val="44"/>
          <w:u w:val="single"/>
          <w:lang w:val="en-US" w:eastAsia="zh-CN"/>
        </w:rPr>
        <w:t>XXX</w:t>
      </w:r>
      <w:r>
        <w:rPr>
          <w:rFonts w:hint="eastAsia" w:ascii="Times New Roman" w:hAnsi="Times New Roman" w:eastAsia="黑体" w:cs="Times New Roman"/>
          <w:sz w:val="44"/>
          <w:szCs w:val="44"/>
        </w:rPr>
        <w:t>劳务分包合同</w:t>
      </w:r>
    </w:p>
    <w:p>
      <w:pPr>
        <w:spacing w:line="360" w:lineRule="auto"/>
        <w:ind w:firstLine="1881" w:firstLineChars="672"/>
        <w:jc w:val="center"/>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甲方合同编号：</w:t>
      </w:r>
      <w:r>
        <w:rPr>
          <w:rFonts w:hint="eastAsia" w:ascii="Times New Roman" w:hAnsi="Times New Roman" w:eastAsia="仿宋" w:cs="Times New Roman"/>
          <w:color w:val="auto"/>
          <w:sz w:val="28"/>
          <w:szCs w:val="28"/>
          <w:u w:val="single"/>
        </w:rPr>
        <w:t xml:space="preserve">                </w:t>
      </w:r>
    </w:p>
    <w:p>
      <w:pPr>
        <w:spacing w:line="360" w:lineRule="auto"/>
        <w:ind w:firstLine="1881" w:firstLineChars="672"/>
        <w:jc w:val="center"/>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乙方合同编号：</w:t>
      </w:r>
      <w:r>
        <w:rPr>
          <w:rFonts w:hint="eastAsia" w:ascii="Times New Roman" w:hAnsi="Times New Roman" w:eastAsia="仿宋" w:cs="Times New Roman"/>
          <w:color w:val="auto"/>
          <w:sz w:val="28"/>
          <w:szCs w:val="28"/>
          <w:u w:val="single"/>
        </w:rPr>
        <w:t xml:space="preserve">                </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甲方：</w:t>
      </w:r>
      <w:r>
        <w:rPr>
          <w:rFonts w:hint="eastAsia" w:ascii="Times New Roman" w:hAnsi="Times New Roman" w:eastAsia="仿宋" w:cs="Times New Roman"/>
          <w:w w:val="80"/>
          <w:sz w:val="28"/>
          <w:szCs w:val="28"/>
        </w:rPr>
        <w:t>重庆对外建设（集团）有限公司</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统一社会信用代码：</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住所地：</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法定代表人：</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联系人：</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联系电话：</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联系地址：</w:t>
      </w:r>
    </w:p>
    <w:p>
      <w:pPr>
        <w:widowControl/>
        <w:spacing w:line="360" w:lineRule="auto"/>
        <w:ind w:left="1" w:hanging="1"/>
        <w:jc w:val="left"/>
        <w:rPr>
          <w:rFonts w:hint="eastAsia" w:ascii="Times New Roman" w:hAnsi="Times New Roman" w:eastAsia="仿宋" w:cs="Times New Roman"/>
          <w:sz w:val="28"/>
          <w:szCs w:val="28"/>
        </w:rPr>
      </w:pP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乙方：</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统一社会信用代码：</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住所地：</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法定代表人：</w:t>
      </w:r>
    </w:p>
    <w:p>
      <w:pPr>
        <w:widowControl/>
        <w:spacing w:line="360" w:lineRule="auto"/>
        <w:ind w:left="1" w:hanging="1"/>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联系人：</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联系电话：</w:t>
      </w:r>
    </w:p>
    <w:p>
      <w:pPr>
        <w:widowControl/>
        <w:spacing w:line="360" w:lineRule="auto"/>
        <w:ind w:left="1" w:hanging="1"/>
        <w:jc w:val="left"/>
        <w:rPr>
          <w:rFonts w:ascii="Times New Roman" w:hAnsi="Times New Roman" w:eastAsia="仿宋" w:cs="Times New Roman"/>
          <w:sz w:val="28"/>
          <w:szCs w:val="28"/>
        </w:rPr>
      </w:pPr>
      <w:r>
        <w:rPr>
          <w:rFonts w:hint="eastAsia" w:ascii="Times New Roman" w:hAnsi="Times New Roman" w:eastAsia="仿宋" w:cs="Times New Roman"/>
          <w:sz w:val="28"/>
          <w:szCs w:val="28"/>
        </w:rPr>
        <w:t>联系地址：</w:t>
      </w:r>
    </w:p>
    <w:p>
      <w:pPr>
        <w:widowControl/>
        <w:spacing w:line="360" w:lineRule="auto"/>
        <w:jc w:val="left"/>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br w:type="column"/>
      </w:r>
    </w:p>
    <w:p>
      <w:pPr>
        <w:spacing w:line="360" w:lineRule="auto"/>
        <w:ind w:firstLine="562" w:firstLineChars="200"/>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rPr>
        <w:t>鉴于：</w:t>
      </w:r>
    </w:p>
    <w:p>
      <w:pPr>
        <w:spacing w:line="360" w:lineRule="auto"/>
        <w:rPr>
          <w:rFonts w:ascii="Times New Roman" w:hAnsi="Times New Roman" w:eastAsia="仿宋" w:cs="Times New Roman"/>
          <w:sz w:val="28"/>
          <w:szCs w:val="28"/>
          <w:u w:val="single"/>
        </w:rPr>
      </w:pPr>
      <w:r>
        <w:rPr>
          <w:rFonts w:hint="eastAsia" w:ascii="Times New Roman" w:hAnsi="Times New Roman" w:eastAsia="仿宋" w:cs="Times New Roman"/>
          <w:sz w:val="28"/>
          <w:szCs w:val="28"/>
        </w:rPr>
        <w:t>1.甲方为</w:t>
      </w:r>
      <w:r>
        <w:rPr>
          <w:rFonts w:hint="eastAsia" w:ascii="Times New Roman" w:hAnsi="Times New Roman" w:eastAsia="仿宋" w:cs="Times New Roman"/>
          <w:sz w:val="28"/>
          <w:szCs w:val="28"/>
          <w:u w:val="single"/>
        </w:rPr>
        <w:t xml:space="preserve">      （甲方的基本情况介绍）                          </w:t>
      </w:r>
    </w:p>
    <w:p>
      <w:pPr>
        <w:pStyle w:val="6"/>
        <w:rPr>
          <w:rFonts w:hint="eastAsia" w:ascii="Times New Roman" w:hAnsi="Times New Roman" w:cs="Times New Roman"/>
        </w:rPr>
      </w:pPr>
      <w:r>
        <w:rPr>
          <w:rFonts w:hint="eastAsia" w:ascii="Times New Roman" w:hAnsi="Times New Roman" w:eastAsia="仿宋" w:cs="Times New Roman"/>
          <w:sz w:val="28"/>
          <w:szCs w:val="28"/>
        </w:rPr>
        <w:t>2.乙方为</w:t>
      </w:r>
      <w:r>
        <w:rPr>
          <w:rFonts w:hint="eastAsia" w:ascii="Times New Roman" w:hAnsi="Times New Roman" w:eastAsia="仿宋" w:cs="Times New Roman"/>
          <w:sz w:val="28"/>
          <w:szCs w:val="28"/>
          <w:u w:val="single"/>
        </w:rPr>
        <w:t xml:space="preserve">      （乙方的基本情况介绍）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3.甲方于</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年</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月</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日承包</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工程（以下简称“本工程”），并与发包方签订了《</w:t>
      </w:r>
      <w:r>
        <w:rPr>
          <w:rFonts w:hint="eastAsia" w:ascii="Times New Roman" w:hAnsi="Times New Roman" w:eastAsia="仿宋" w:cs="Times New Roman"/>
          <w:sz w:val="28"/>
          <w:szCs w:val="28"/>
          <w:u w:val="single"/>
        </w:rPr>
        <w:t xml:space="preserve"> xxx </w:t>
      </w:r>
      <w:r>
        <w:rPr>
          <w:rFonts w:hint="eastAsia" w:ascii="Times New Roman" w:hAnsi="Times New Roman" w:eastAsia="仿宋" w:cs="Times New Roman"/>
          <w:sz w:val="28"/>
          <w:szCs w:val="28"/>
        </w:rPr>
        <w:t>建设工程施工合同》。现甲方拟就本工程所涉劳务事项向乙方进行</w:t>
      </w:r>
      <w:r>
        <w:rPr>
          <w:rFonts w:hint="eastAsia" w:ascii="Times New Roman" w:hAnsi="Times New Roman" w:eastAsia="仿宋" w:cs="Times New Roman"/>
          <w:sz w:val="28"/>
          <w:szCs w:val="28"/>
          <w:lang w:eastAsia="zh-CN"/>
        </w:rPr>
        <w:t>劳务</w:t>
      </w:r>
      <w:r>
        <w:rPr>
          <w:rFonts w:hint="eastAsia" w:ascii="Times New Roman" w:hAnsi="Times New Roman" w:eastAsia="仿宋" w:cs="Times New Roman"/>
          <w:sz w:val="28"/>
          <w:szCs w:val="28"/>
        </w:rPr>
        <w:t>分包。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为明确甲、乙双方权、责、利，根据《中华人民共和国合同法》、《中华人民共和国建筑法》等现行法律法规的规定，经甲、乙双方平等、友好协商，就本工程劳务分包相关事宜达成如下协议，以资共同遵守。</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第一条 工程概况</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1.1工程名称：</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1.2工程地点：</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1.3工程规模：</w:t>
      </w:r>
      <w:r>
        <w:rPr>
          <w:rFonts w:hint="eastAsia" w:ascii="Times New Roman" w:hAnsi="Times New Roman" w:eastAsia="仿宋" w:cs="Times New Roman"/>
          <w:sz w:val="28"/>
          <w:szCs w:val="28"/>
          <w:u w:val="single"/>
        </w:rPr>
        <w:t xml:space="preserve">                    </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1.4工程内容：</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1.5工程工期：</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1.6工程质量标准：</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u w:val="single"/>
          <w:lang w:val="en-US" w:eastAsia="zh-CN"/>
        </w:rPr>
      </w:pPr>
      <w:r>
        <w:rPr>
          <w:rFonts w:hint="eastAsia" w:ascii="Times New Roman" w:hAnsi="Times New Roman" w:eastAsia="仿宋" w:cs="Times New Roman"/>
          <w:sz w:val="28"/>
          <w:szCs w:val="28"/>
          <w:u w:val="single"/>
          <w:lang w:val="en-US" w:eastAsia="zh-CN"/>
        </w:rPr>
        <w:t>1.7合同总价暂定人民币___元（大写：人民币___元）。其中，不含税合同价__元；增值税税率__%；增值税税金______元。以上金额为暂定，以上合同总价最终以实际结算为准。合同总价中安全文明施工措施费（暂定按合同总价的__%计提）：___万元。</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1.</w:t>
      </w:r>
      <w:r>
        <w:rPr>
          <w:rFonts w:hint="eastAsia" w:ascii="Times New Roman" w:hAnsi="Times New Roman" w:eastAsia="仿宋" w:cs="Times New Roman"/>
          <w:sz w:val="28"/>
          <w:szCs w:val="28"/>
          <w:lang w:val="en-US" w:eastAsia="zh-CN"/>
        </w:rPr>
        <w:t>8</w:t>
      </w:r>
      <w:r>
        <w:rPr>
          <w:rFonts w:hint="eastAsia" w:ascii="Times New Roman" w:hAnsi="Times New Roman" w:eastAsia="仿宋" w:cs="Times New Roman"/>
          <w:sz w:val="28"/>
          <w:szCs w:val="28"/>
        </w:rPr>
        <w:t>其他：</w:t>
      </w:r>
      <w:r>
        <w:rPr>
          <w:rFonts w:hint="eastAsia" w:ascii="Times New Roman" w:hAnsi="Times New Roman" w:eastAsia="仿宋" w:cs="Times New Roman"/>
          <w:sz w:val="28"/>
          <w:szCs w:val="28"/>
          <w:u w:val="single"/>
        </w:rPr>
        <w:t xml:space="preserve">                        </w:t>
      </w:r>
    </w:p>
    <w:p>
      <w:pPr>
        <w:numPr>
          <w:ilvl w:val="0"/>
          <w:numId w:val="4"/>
        </w:numPr>
        <w:spacing w:line="360" w:lineRule="auto"/>
        <w:ind w:firstLine="562" w:firstLineChars="200"/>
        <w:rPr>
          <w:rFonts w:hint="eastAsia" w:ascii="Times New Roman" w:hAnsi="Times New Roman" w:eastAsia="仿宋" w:cs="Times New Roman"/>
          <w:b/>
          <w:color w:val="000000"/>
          <w:sz w:val="28"/>
          <w:szCs w:val="28"/>
        </w:rPr>
      </w:pPr>
      <w:r>
        <w:rPr>
          <w:rFonts w:hint="eastAsia" w:ascii="Times New Roman" w:hAnsi="Times New Roman" w:eastAsia="仿宋" w:cs="Times New Roman"/>
          <w:b/>
          <w:sz w:val="28"/>
          <w:szCs w:val="28"/>
        </w:rPr>
        <w:t>乙方</w:t>
      </w:r>
      <w:r>
        <w:rPr>
          <w:rFonts w:hint="eastAsia" w:ascii="Times New Roman" w:hAnsi="Times New Roman" w:eastAsia="仿宋" w:cs="Times New Roman"/>
          <w:b/>
          <w:color w:val="000000"/>
          <w:sz w:val="28"/>
          <w:szCs w:val="28"/>
        </w:rPr>
        <w:t>资质情况</w:t>
      </w:r>
    </w:p>
    <w:p>
      <w:pPr>
        <w:spacing w:line="360" w:lineRule="auto"/>
        <w:ind w:firstLine="562"/>
        <w:rPr>
          <w:rFonts w:hint="eastAsia" w:ascii="Times New Roman" w:hAnsi="Times New Roman" w:eastAsia="仿宋" w:cs="Times New Roman"/>
          <w:color w:val="000000"/>
          <w:sz w:val="28"/>
          <w:szCs w:val="28"/>
        </w:rPr>
      </w:pPr>
      <w:r>
        <w:rPr>
          <w:rFonts w:hint="eastAsia" w:ascii="Times New Roman" w:hAnsi="Times New Roman" w:eastAsia="仿宋" w:cs="Times New Roman"/>
          <w:bCs/>
          <w:color w:val="000000"/>
          <w:sz w:val="28"/>
          <w:szCs w:val="28"/>
        </w:rPr>
        <w:t>2.1</w:t>
      </w:r>
      <w:r>
        <w:rPr>
          <w:rFonts w:hint="eastAsia" w:ascii="Times New Roman" w:hAnsi="Times New Roman" w:eastAsia="仿宋" w:cs="Times New Roman"/>
          <w:color w:val="000000"/>
          <w:sz w:val="28"/>
          <w:szCs w:val="28"/>
        </w:rPr>
        <w:t>资质证书号码：</w:t>
      </w:r>
      <w:r>
        <w:rPr>
          <w:rFonts w:hint="eastAsia" w:ascii="Times New Roman" w:hAnsi="Times New Roman" w:eastAsia="仿宋" w:cs="Times New Roman"/>
          <w:color w:val="000000"/>
          <w:sz w:val="28"/>
          <w:szCs w:val="28"/>
          <w:u w:val="single"/>
        </w:rPr>
        <w:t xml:space="preserve">                             </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2.2发证机关：</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rPr>
        <w:t xml:space="preserve"> </w:t>
      </w:r>
    </w:p>
    <w:p>
      <w:pPr>
        <w:spacing w:line="360" w:lineRule="auto"/>
        <w:ind w:firstLine="560" w:firstLineChars="200"/>
        <w:rPr>
          <w:rFonts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 xml:space="preserve">2.3资质专业及等级： </w:t>
      </w:r>
      <w:r>
        <w:rPr>
          <w:rFonts w:hint="eastAsia" w:ascii="Times New Roman" w:hAnsi="Times New Roman" w:eastAsia="仿宋" w:cs="Times New Roman"/>
          <w:color w:val="000000"/>
          <w:sz w:val="28"/>
          <w:szCs w:val="28"/>
          <w:u w:val="single"/>
        </w:rPr>
        <w:t xml:space="preserve">                           </w:t>
      </w:r>
    </w:p>
    <w:p>
      <w:pPr>
        <w:spacing w:line="360" w:lineRule="auto"/>
        <w:ind w:firstLine="560" w:firstLineChars="200"/>
        <w:rPr>
          <w:rFonts w:hint="eastAsia"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2.4资质复审时间及有效时间：</w:t>
      </w:r>
      <w:r>
        <w:rPr>
          <w:rFonts w:hint="eastAsia" w:ascii="Times New Roman" w:hAnsi="Times New Roman" w:eastAsia="仿宋" w:cs="Times New Roman"/>
          <w:color w:val="000000"/>
          <w:sz w:val="28"/>
          <w:szCs w:val="28"/>
          <w:u w:val="single"/>
        </w:rPr>
        <w:t xml:space="preserve">                    </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第三条 乙方分包的范围及内容</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3.1分包范围：</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3.2分包内容：</w:t>
      </w:r>
      <w:r>
        <w:rPr>
          <w:rFonts w:hint="eastAsia" w:ascii="Times New Roman" w:hAnsi="Times New Roman" w:eastAsia="仿宋" w:cs="Times New Roman"/>
          <w:sz w:val="28"/>
          <w:szCs w:val="28"/>
          <w:u w:val="single"/>
        </w:rPr>
        <w:t xml:space="preserve">                                  </w:t>
      </w:r>
    </w:p>
    <w:p>
      <w:pPr>
        <w:spacing w:line="360" w:lineRule="auto"/>
        <w:ind w:firstLine="562" w:firstLineChars="200"/>
        <w:outlineLvl w:val="0"/>
        <w:rPr>
          <w:rFonts w:ascii="Times New Roman" w:hAnsi="Times New Roman" w:eastAsia="仿宋" w:cs="Times New Roman"/>
          <w:b/>
          <w:sz w:val="28"/>
          <w:szCs w:val="28"/>
        </w:rPr>
      </w:pPr>
      <w:r>
        <w:rPr>
          <w:rFonts w:hint="eastAsia" w:ascii="Times New Roman" w:hAnsi="Times New Roman" w:eastAsia="仿宋" w:cs="Times New Roman"/>
          <w:b/>
          <w:sz w:val="28"/>
          <w:szCs w:val="28"/>
        </w:rPr>
        <w:t>第四条 乙方工期及要求</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4.1</w:t>
      </w:r>
      <w:r>
        <w:rPr>
          <w:rFonts w:hint="eastAsia" w:ascii="Times New Roman" w:hAnsi="Times New Roman" w:eastAsia="仿宋" w:cs="Times New Roman"/>
          <w:sz w:val="28"/>
          <w:szCs w:val="28"/>
          <w:lang w:eastAsia="zh-CN"/>
        </w:rPr>
        <w:t>工</w:t>
      </w:r>
      <w:r>
        <w:rPr>
          <w:rFonts w:hint="eastAsia" w:ascii="Times New Roman" w:hAnsi="Times New Roman" w:eastAsia="仿宋" w:cs="Times New Roman"/>
          <w:sz w:val="28"/>
          <w:szCs w:val="28"/>
        </w:rPr>
        <w:t>期：</w:t>
      </w:r>
      <w:r>
        <w:rPr>
          <w:rFonts w:hint="eastAsia" w:ascii="Times New Roman" w:hAnsi="Times New Roman" w:eastAsia="仿宋" w:cs="Times New Roman"/>
          <w:sz w:val="28"/>
          <w:szCs w:val="28"/>
          <w:u w:val="single"/>
        </w:rPr>
        <w:t xml:space="preserve">                      </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4.2</w:t>
      </w:r>
      <w:r>
        <w:rPr>
          <w:rFonts w:ascii="Times New Roman" w:hAnsi="Times New Roman" w:eastAsia="仿宋" w:cs="Times New Roman"/>
          <w:sz w:val="28"/>
          <w:szCs w:val="28"/>
        </w:rPr>
        <w:t>乙方应无条件执行甲方合理的进度计划安排（包括新调整的进度计划），若乙方不能按双方所定计划完成劳务项目，甲方有权</w:t>
      </w:r>
      <w:r>
        <w:rPr>
          <w:rFonts w:hint="eastAsia" w:ascii="Times New Roman" w:hAnsi="Times New Roman" w:eastAsia="仿宋" w:cs="Times New Roman"/>
          <w:sz w:val="28"/>
          <w:szCs w:val="28"/>
        </w:rPr>
        <w:t>单方面解除本</w:t>
      </w:r>
      <w:r>
        <w:rPr>
          <w:rFonts w:ascii="Times New Roman" w:hAnsi="Times New Roman" w:eastAsia="仿宋" w:cs="Times New Roman"/>
          <w:sz w:val="28"/>
          <w:szCs w:val="28"/>
        </w:rPr>
        <w:t>合同，并有权</w:t>
      </w:r>
      <w:r>
        <w:rPr>
          <w:rFonts w:hint="eastAsia" w:ascii="Times New Roman" w:hAnsi="Times New Roman" w:eastAsia="仿宋" w:cs="Times New Roman"/>
          <w:sz w:val="28"/>
          <w:szCs w:val="28"/>
        </w:rPr>
        <w:t>追究</w:t>
      </w:r>
      <w:r>
        <w:rPr>
          <w:rFonts w:ascii="Times New Roman" w:hAnsi="Times New Roman" w:eastAsia="仿宋" w:cs="Times New Roman"/>
          <w:sz w:val="28"/>
          <w:szCs w:val="28"/>
        </w:rPr>
        <w:t>乙方由此造成的经济损失</w:t>
      </w:r>
      <w:r>
        <w:rPr>
          <w:rFonts w:hint="eastAsia" w:ascii="Times New Roman" w:hAnsi="Times New Roman" w:eastAsia="仿宋" w:cs="Times New Roman"/>
          <w:sz w:val="28"/>
          <w:szCs w:val="28"/>
        </w:rPr>
        <w:t>。</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4.3因人力不可抗拒的自然灾害造成的工程停顿或一周内非乙方原因停电停水造成停工连续超过8小时，经甲方项目部签字认可，工期予以顺延，但不作经济补偿。</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4.4开工、竣工日期以实际发生为准，乙方不得因工期延长或缩短索赔任何费用(如管理费、租赁费、人工费等一切费用)。</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第五条 合同文件及解释顺序</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5.1组成本合同的各项文件应互相解释，互为说明。除另有约定外，解释合同文件的优先顺序如下：</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（1）本合同；</w:t>
      </w:r>
    </w:p>
    <w:p>
      <w:pPr>
        <w:spacing w:line="360"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（2）本合同附件（如有）；</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（3）中标通知书（如有）</w:t>
      </w:r>
      <w:r>
        <w:rPr>
          <w:rFonts w:hint="eastAsia" w:ascii="Times New Roman" w:hAnsi="Times New Roman" w:eastAsia="仿宋" w:cs="Times New Roman"/>
          <w:sz w:val="28"/>
          <w:szCs w:val="28"/>
          <w:u w:val="single"/>
        </w:rPr>
        <w:t>（包括中选通知）</w:t>
      </w:r>
      <w:r>
        <w:rPr>
          <w:rFonts w:hint="eastAsia" w:ascii="Times New Roman" w:hAnsi="Times New Roman" w:eastAsia="仿宋" w:cs="Times New Roman"/>
          <w:sz w:val="28"/>
          <w:szCs w:val="28"/>
        </w:rPr>
        <w:t>；</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（4）招标文件（包括招标补充通知及投标澄清文件）、投标函及其附录（如果有），</w:t>
      </w:r>
      <w:r>
        <w:rPr>
          <w:rFonts w:hint="eastAsia" w:ascii="Times New Roman" w:hAnsi="Times New Roman" w:eastAsia="仿宋" w:cs="Times New Roman"/>
          <w:sz w:val="28"/>
          <w:szCs w:val="28"/>
          <w:u w:val="single"/>
        </w:rPr>
        <w:t>（包括竞价比选过程中的竞价比选文件、竞选答疑文件、竞选文件等相关文件）</w:t>
      </w:r>
      <w:r>
        <w:rPr>
          <w:rFonts w:hint="eastAsia" w:ascii="Times New Roman" w:hAnsi="Times New Roman" w:eastAsia="仿宋" w:cs="Times New Roman"/>
          <w:sz w:val="28"/>
          <w:szCs w:val="28"/>
        </w:rPr>
        <w:t>；</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（5）技术标准和要求；</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（6）图纸；</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（7）经双方确认进入合同的其他文件。</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5.2上述各项合同文件包括合同当事人就该项合同文件所作出的补充和修改，属于同一类内容的文件，应以最新签署的为准。专用合同条款及其附件须经合同当事人盖章。</w:t>
      </w:r>
    </w:p>
    <w:p>
      <w:pPr>
        <w:spacing w:line="360" w:lineRule="auto"/>
        <w:ind w:firstLine="562" w:firstLineChars="200"/>
        <w:outlineLvl w:val="0"/>
        <w:rPr>
          <w:rFonts w:ascii="Times New Roman" w:hAnsi="Times New Roman" w:eastAsia="仿宋" w:cs="Times New Roman"/>
          <w:b/>
          <w:sz w:val="28"/>
          <w:szCs w:val="28"/>
        </w:rPr>
      </w:pPr>
      <w:r>
        <w:rPr>
          <w:rFonts w:hint="eastAsia" w:ascii="Times New Roman" w:hAnsi="Times New Roman" w:eastAsia="仿宋" w:cs="Times New Roman"/>
          <w:b/>
          <w:sz w:val="28"/>
          <w:szCs w:val="28"/>
        </w:rPr>
        <w:t>第六条 标准规范</w:t>
      </w:r>
    </w:p>
    <w:p>
      <w:pPr>
        <w:spacing w:line="360" w:lineRule="auto"/>
        <w:ind w:firstLine="560" w:firstLineChars="200"/>
        <w:outlineLvl w:val="0"/>
        <w:rPr>
          <w:rFonts w:hint="eastAsia" w:ascii="Times New Roman" w:hAnsi="Times New Roman" w:eastAsia="仿宋" w:cs="Times New Roman"/>
          <w:bCs/>
          <w:sz w:val="28"/>
          <w:szCs w:val="28"/>
          <w:u w:val="single"/>
        </w:rPr>
      </w:pPr>
      <w:r>
        <w:rPr>
          <w:rFonts w:hint="eastAsia" w:ascii="Times New Roman" w:hAnsi="Times New Roman" w:eastAsia="仿宋" w:cs="Times New Roman"/>
          <w:bCs/>
          <w:sz w:val="28"/>
          <w:szCs w:val="28"/>
        </w:rPr>
        <w:t>6.1本合同使用标准规范为：</w:t>
      </w:r>
      <w:r>
        <w:rPr>
          <w:rFonts w:hint="eastAsia" w:ascii="Times New Roman" w:hAnsi="Times New Roman" w:eastAsia="仿宋" w:cs="Times New Roman"/>
          <w:bCs/>
          <w:sz w:val="28"/>
          <w:szCs w:val="28"/>
          <w:u w:val="single"/>
        </w:rPr>
        <w:t xml:space="preserve">                         </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6.2乙方应严格执行甲方质量、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6.3乙方在施工过程中必须达到特殊工种持证率100%、技工持证率85%、平工持证率60%。</w:t>
      </w:r>
    </w:p>
    <w:p>
      <w:pPr>
        <w:spacing w:line="360" w:lineRule="auto"/>
        <w:ind w:firstLine="560" w:firstLineChars="200"/>
        <w:rPr>
          <w:rFonts w:ascii="Times New Roman" w:hAnsi="Times New Roman" w:eastAsia="仿宋" w:cs="Times New Roman"/>
          <w:bCs/>
          <w:sz w:val="28"/>
          <w:szCs w:val="28"/>
          <w:u w:val="single"/>
        </w:rPr>
      </w:pPr>
      <w:r>
        <w:rPr>
          <w:rFonts w:hint="eastAsia" w:ascii="Times New Roman" w:hAnsi="Times New Roman" w:eastAsia="仿宋" w:cs="Times New Roman"/>
          <w:color w:val="000000"/>
          <w:sz w:val="28"/>
          <w:szCs w:val="28"/>
        </w:rPr>
        <w:t>6.4劳务分包务工人员由乙方组织至合格医院进行体检，必须持健康证达100%。</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第七条 现场情况</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乙方已对本工程的工程位置、周边环境、地质状况、平基现状、道口布设、储存空间、施工作业区、指定的弃渣位置、场内三通一平、施工图等全部情况及所采用的规范和标准、国家和地方对本行业的相关政策、法律、法规等已有充分了解、分析和评估，同意承担任何因忽视或误解工程情况而导致的后果和责任。</w:t>
      </w:r>
    </w:p>
    <w:p>
      <w:pPr>
        <w:spacing w:line="360" w:lineRule="auto"/>
        <w:ind w:right="-25" w:firstLine="562" w:firstLineChars="200"/>
        <w:rPr>
          <w:rFonts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rPr>
        <w:t>第八条 派驻人员</w:t>
      </w:r>
    </w:p>
    <w:p>
      <w:pPr>
        <w:spacing w:line="360" w:lineRule="auto"/>
        <w:ind w:right="-25"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8.1甲方派驻以下人员：</w:t>
      </w:r>
    </w:p>
    <w:p>
      <w:pPr>
        <w:numPr>
          <w:ilvl w:val="0"/>
          <w:numId w:val="5"/>
        </w:numPr>
        <w:spacing w:line="360" w:lineRule="auto"/>
        <w:ind w:right="-25" w:firstLine="560" w:firstLineChars="200"/>
        <w:rPr>
          <w:rFonts w:hint="eastAsia"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项目负责人：</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numPr>
          <w:ilvl w:val="0"/>
          <w:numId w:val="5"/>
        </w:numPr>
        <w:spacing w:line="360" w:lineRule="auto"/>
        <w:ind w:right="-25"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color w:val="000000"/>
          <w:sz w:val="28"/>
          <w:szCs w:val="28"/>
        </w:rPr>
        <w:t>项目经理：</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公民</w:t>
      </w:r>
      <w:r>
        <w:rPr>
          <w:rFonts w:hint="eastAsia" w:ascii="Times New Roman" w:hAnsi="Times New Roman" w:eastAsia="仿宋" w:cs="Times New Roman"/>
          <w:color w:val="000000"/>
          <w:sz w:val="28"/>
          <w:szCs w:val="28"/>
        </w:rPr>
        <w:t>身份号码：</w:t>
      </w:r>
      <w:r>
        <w:rPr>
          <w:rFonts w:hint="eastAsia" w:ascii="Times New Roman" w:hAnsi="Times New Roman" w:eastAsia="仿宋" w:cs="Times New Roman"/>
          <w:color w:val="000000"/>
          <w:sz w:val="28"/>
          <w:szCs w:val="28"/>
          <w:u w:val="single"/>
        </w:rPr>
        <w:t xml:space="preserve">                    </w:t>
      </w:r>
    </w:p>
    <w:p>
      <w:pPr>
        <w:numPr>
          <w:ilvl w:val="0"/>
          <w:numId w:val="5"/>
        </w:numPr>
        <w:spacing w:line="360" w:lineRule="auto"/>
        <w:ind w:right="-25"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color w:val="000000"/>
          <w:sz w:val="28"/>
          <w:szCs w:val="28"/>
        </w:rPr>
        <w:t>技术负责人：</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公民</w:t>
      </w:r>
      <w:r>
        <w:rPr>
          <w:rFonts w:hint="eastAsia" w:ascii="Times New Roman" w:hAnsi="Times New Roman" w:eastAsia="仿宋" w:cs="Times New Roman"/>
          <w:color w:val="000000"/>
          <w:sz w:val="28"/>
          <w:szCs w:val="28"/>
        </w:rPr>
        <w:t>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甲方派驻的以上人员的权限均以甲方出具的书面授权为准，上述人员仅代表甲方行使书面授权范围以内的行为，超出书面授权范围的行为对甲方不发生法律约束力。</w:t>
      </w:r>
    </w:p>
    <w:p>
      <w:pPr>
        <w:spacing w:line="360" w:lineRule="auto"/>
        <w:ind w:right="-25"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8.2乙方派驻以下人员：</w:t>
      </w:r>
    </w:p>
    <w:p>
      <w:pPr>
        <w:spacing w:line="360" w:lineRule="auto"/>
        <w:ind w:right="-25" w:firstLine="560" w:firstLineChars="200"/>
        <w:rPr>
          <w:rFonts w:hint="eastAsia"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（1）项目负责人：</w:t>
      </w:r>
      <w:r>
        <w:rPr>
          <w:rFonts w:hint="eastAsia"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color w:val="000000"/>
          <w:sz w:val="28"/>
          <w:szCs w:val="28"/>
        </w:rPr>
        <w:t>（2）项目经理：</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rPr>
        <w:t>，</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（3）技术负责人：</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ascii="Times New Roman" w:hAnsi="Times New Roman" w:eastAsia="仿宋" w:cs="Times New Roman"/>
          <w:color w:val="000000"/>
          <w:sz w:val="28"/>
          <w:szCs w:val="28"/>
          <w:u w:val="single"/>
        </w:rPr>
      </w:pPr>
      <w:r>
        <w:rPr>
          <w:rFonts w:hint="eastAsia" w:ascii="Times New Roman" w:hAnsi="Times New Roman" w:eastAsia="仿宋" w:cs="Times New Roman"/>
          <w:color w:val="000000"/>
          <w:sz w:val="28"/>
          <w:szCs w:val="28"/>
        </w:rPr>
        <w:t>（4）安全员：</w:t>
      </w:r>
      <w:r>
        <w:rPr>
          <w:rFonts w:hint="eastAsia" w:ascii="Times New Roman" w:hAnsi="Times New Roman" w:eastAsia="仿宋" w:cs="Times New Roman"/>
          <w:color w:val="000000"/>
          <w:sz w:val="28"/>
          <w:szCs w:val="28"/>
          <w:u w:val="single"/>
        </w:rPr>
        <w:t xml:space="preserve"> </w:t>
      </w:r>
      <w:r>
        <w:rPr>
          <w:rFonts w:hint="eastAsia" w:ascii="Times New Roman" w:hAnsi="Times New Roman" w:eastAsia="仿宋" w:cs="Times New Roman"/>
          <w:sz w:val="28"/>
          <w:szCs w:val="28"/>
          <w:u w:val="single"/>
        </w:rPr>
        <w:t xml:space="preserve">          </w:t>
      </w:r>
      <w:r>
        <w:rPr>
          <w:rFonts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rPr>
        <w:t>，</w:t>
      </w:r>
      <w:r>
        <w:rPr>
          <w:rFonts w:hint="eastAsia" w:ascii="Times New Roman" w:hAnsi="Times New Roman" w:eastAsia="仿宋" w:cs="Times New Roman"/>
          <w:color w:val="000000"/>
          <w:sz w:val="28"/>
          <w:szCs w:val="28"/>
        </w:rPr>
        <w:t>公民身份号码：</w:t>
      </w:r>
      <w:r>
        <w:rPr>
          <w:rFonts w:hint="eastAsia" w:ascii="Times New Roman" w:hAnsi="Times New Roman" w:eastAsia="仿宋" w:cs="Times New Roman"/>
          <w:color w:val="000000"/>
          <w:sz w:val="28"/>
          <w:szCs w:val="28"/>
          <w:u w:val="single"/>
        </w:rPr>
        <w:t xml:space="preserve">                      </w:t>
      </w:r>
    </w:p>
    <w:p>
      <w:pPr>
        <w:spacing w:line="360" w:lineRule="auto"/>
        <w:ind w:right="-25" w:firstLine="560" w:firstLineChars="200"/>
        <w:rPr>
          <w:rFonts w:hint="eastAsia" w:ascii="Times New Roman" w:hAnsi="Times New Roman" w:eastAsia="仿宋" w:cs="Times New Roman"/>
          <w:b/>
          <w:sz w:val="28"/>
          <w:szCs w:val="28"/>
        </w:rPr>
      </w:pPr>
      <w:r>
        <w:rPr>
          <w:rFonts w:hint="eastAsia" w:ascii="Times New Roman" w:hAnsi="Times New Roman" w:eastAsia="仿宋" w:cs="Times New Roman"/>
          <w:color w:val="000000"/>
          <w:sz w:val="28"/>
          <w:szCs w:val="28"/>
        </w:rPr>
        <w:t>乙方派驻的</w:t>
      </w:r>
      <w:r>
        <w:rPr>
          <w:rFonts w:hint="eastAsia" w:ascii="Times New Roman" w:hAnsi="Times New Roman" w:eastAsia="仿宋" w:cs="Times New Roman"/>
          <w:sz w:val="28"/>
          <w:szCs w:val="28"/>
        </w:rPr>
        <w:t>以上人员未经甲方书面同意不得擅自变更，乙方每更换1人需要向甲方支付</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元违约金。</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第九条 甲方责任与义务</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9.1组建与工程相适应的项目管理班子，全面履行总包合同，组织实施施工管理的各项工作，对工程的工期和质量向工程发包人负责。</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9.2负责编制施工组织设计，统一制定各项管理目标，组织编制年、季、月、施工计划、物资需用量计划表，实施对工程质量、工期、安全生产、文明施工，计量析测、试验化验的控制、监督、检查和验收。</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9.3按乙方的计划及时供应工程材料（钢筋、水泥、混凝土、砌体砖、砂等）并运至施工现场（上、下车、现场转运、人工费由乙方负责）。</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9.4提供总配电总闸（变压器低压室）、提供场内总水表，总闸（表）后所有临时用水用电设施设备均由乙方负责，同时符合安全文明施工要求和甲方要求。</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9.5统筹安排、协调非乙方独立使用的生产、生活临时设施（乙方人员的生活用品、床、棕垫、空调、就餐费用、饮水设备、办公用品乙方自行解决）、工作用总水源、总电源、施工场地。</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9.6在劳务分包工作开工前向乙方提供图纸一套，以及与本合同工作有关的标准图一套和设计变更，保证施工需要。</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9.7甲方按本合同约定履约，向乙方支付劳务工程款项。</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9.8负责与发包人、监理、设计及有关部门联系，协调现场工作关系。</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9.9乙方招收人员，凡有下列情况之一者，甲方有权清退：打架斗殴或聚众闹事影响生产，干扰公务者；赌博、嫖娼、看淫秽视频者；酒后上班，教育不改者；偷盗违法者；患有传染病或患有不适应施工疾病者；不遵守甲方的各项规章制度及不服从甲方管理人员指挥者。</w:t>
      </w:r>
    </w:p>
    <w:p>
      <w:pPr>
        <w:spacing w:line="360" w:lineRule="auto"/>
        <w:ind w:firstLine="560" w:firstLineChars="200"/>
        <w:rPr>
          <w:rFonts w:hint="eastAsia" w:ascii="Times New Roman" w:hAnsi="Times New Roman" w:eastAsia="仿宋" w:cs="Times New Roman"/>
          <w:b/>
          <w:sz w:val="28"/>
          <w:szCs w:val="28"/>
        </w:rPr>
      </w:pPr>
      <w:r>
        <w:rPr>
          <w:rFonts w:hint="eastAsia" w:ascii="Times New Roman" w:hAnsi="Times New Roman" w:eastAsia="仿宋" w:cs="Times New Roman"/>
          <w:sz w:val="28"/>
          <w:szCs w:val="28"/>
        </w:rPr>
        <w:t>9.10甲方负责配合乙方完善相关行业手续签字、印章（如垂直运输安全验收许可、租赁等）,但是不因此而替代和免除乙方应承担的任何责任。</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第十条 乙方责任与义务</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包括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w:t>
      </w:r>
    </w:p>
    <w:p>
      <w:pPr>
        <w:numPr>
          <w:ilvl w:val="0"/>
          <w:numId w:val="6"/>
        </w:num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如果乙方作业人员配置不能满足进度需要与施工要求，视为乙方违约。甲方书面通知乙方后乙方作业人员仍不能满足要求的，甲方有权单方面解除合同且乙方履约保证金不予退还，乙方应该立即无条件退场，不得阻挠甲方另行劳务分包，对于乙方已完成工程量按照结算总价的30%进行扣减结算。</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（2）若乙方未执行项目部的生产计划，在规定时间内未完成工作，甲方可以另行安排人员进行实施，其价格按实际发生的且不低于</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工日的单价在应付乙方工程款中扣减支付；若在执行违约处理时乙方无理拒不签字，则甲方只要经甲方项目部经理审核，经甲方公司分管领导签字确认，并告知乙方，甲方财务有权在应付乙方工程款中按违约进行扣款。</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10.3未经甲方授权或允许，不得擅自与发包人、监理及有关政府主管部门建立工作联系。</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10.4乙方施工现场内的生产、生活设施、防护通道、围墙、道路及场地硬化的修建维护和维修费用全部由乙方负责（二次及多次），甲方提供主要建筑材料（包括砖、砼、水泥、钢筋、砌体砂、安装材料）,其余所有材料包括彩钢板由乙方自理。乙方自备柴油发电机及相关计量配套设施，确保应急供电。甲方按发电度数的定额台班油料消耗的油费支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10.5甲方负责公共大门、公共围墙、施工公共主干道路及公共附属设施的材料，乙方负责实施，人工费参照合同附表价格执行，未列项目协商计价。</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10.6工地用电甲方只提供低压变压器低压侧总配电箱，二级配电箱以后由乙方自理，如施工现场距离变压器低压侧总配电箱距离超过80米，甲方承担超出80米长度范围外主电缆材料费用的（电缆若超过临时水电方案中相应电缆的规格，则按方案中的电缆规格计价；电缆若小于或等于临时水电方案中相应电缆的规格，则按实计价），电缆由乙方自行解决，并回收。</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施工用水甲方提供供水总表，总表以后的管线由乙方自理。</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施工用水、用电，根据承包范围独立装表计量，超过定额的耗用量部分由乙方自行承担，在甲方应付乙方款项中扣除。</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10.7乙方安排专职管理人员负责现场的工作：如工作安排落实，施工放线（主控线、标高、细部放线等均由乙方负责，并接受甲方的复核检查）、质量、安全、文明施工督促检查管理、周辅材料采购、施工现场保卫、进出场车辆冲洗、清洁等。</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10.8自觉接受甲方及有关部门的管理、监督和检查；接受甲方随时检查其设备、材料保管、使用情况，及其操作人员的有效证件、持证上岗情况；与现场其他单位协调配合，照顾全局。</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10.9按甲方统一规划堆放材料、机具，按工程承包人标准化工地要求设置标牌，搞好生活区的管理，负责自身责任区的治安保卫工作。安排专人负责各种甲方提供材料的签收和确认，并按合同约定包干损耗率使用和结算。</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10.10按时提交报表、完整的原始技术经济资料，配合甲方办理交工验收。</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10.11做好施工场地周围建筑物、构筑物和地下管线和已完工程部分的成品保护工作，因乙方责任发生损坏，乙方自行承担由此引起的一切经济损失及各种罚款。</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10.12自觉遵守法律法规及有关规章制度，服从甲方转发的发包人及工程师的指令，严格按照项目部管理实施细则组织施工作业，项目部工程质量管理制度、安全文明施工管理制度、现场劳务管理条例等作为本合同的附件，与本合同具备同等法律效力。</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10.13除非本合同另有约定，乙方应对其作业内容的实施、完工负责，乙方应承担并履行总（分）包合同约定的、与劳务作业有关的所有义务及工作程序。</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10.14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10.15乙方不得将本合同承包内容的劳务作业转包或再分包给他人。否则甲方有权单方解除本合同，并向乙方索赔人民币</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元，由此造成的一切损失全部由乙方承担。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10.16劳务作业中发现影响工作的地下障碍物时，乙方应于8小时内以书面形式通知甲方项目经理，同时提出处置方案，甲方项目经理收到处置方案后24小时内予以认可或提出修正方案。</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10.17乙方需配合各项检查（含各级领导视察等）及试验（含常规及特殊的试验、检验）相关工作。</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10.18甲方负责提供总的水电源，之后由乙方负责的临时水电系统，乙方必须无条件提供给相关单位使用，且不得收取任何费用。</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乙方必须待工程正式通水通电或经甲方同意后，方能拆除临时水电系统；若乙方擅自拆除临时水电系统，则因此产生的临时水电源费用甲方有权从乙方工程款中扣取。</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10.19与其它专业分包商的配合</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（1）乙方应与其他专业分包方合作并遵守甲方关于现场工作协作方面的一切指导。</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乙方对总体工程的进度计划安排时,应结合分包合同文件约定的(如有)对其他专业分包方的要求,将此类工作的施工周期和施工终始时间合理考虑施工总体进度计划,以确保工程能在分包合同文件规定的时间竣工。</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（3）乙方应根据总体工程的进度计划和本工程的实际需要,及时为其他分包方提供足够的和无障碍的工作面、工作空间和工作时限；乙方同时还应协调好材料进场和场内的交通运输道路。</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（4）当甲方要求和召集时，乙方应参加工程的生产会议或协调会议。乙方应遵守甲方有关会议方面的制度或要求。</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（5）施工总进度计划工期范围内，乙方须无条件提供以下，但不限于各项协调配合工作，其费用已包含在合同价格中，任何情况均不作调整。</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①</w:t>
      </w:r>
      <w:r>
        <w:rPr>
          <w:rFonts w:hint="eastAsia" w:ascii="Times New Roman" w:hAnsi="Times New Roman" w:eastAsia="仿宋" w:cs="Times New Roman"/>
          <w:sz w:val="28"/>
          <w:szCs w:val="28"/>
        </w:rPr>
        <w:t>应甲方的要求提供或搭设甲方或其它分包方施工所必需的脚手架或工作平台及施工结束后的拆除工作。</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②</w:t>
      </w:r>
      <w:r>
        <w:rPr>
          <w:rFonts w:hint="eastAsia" w:ascii="Times New Roman" w:hAnsi="Times New Roman" w:eastAsia="仿宋" w:cs="Times New Roman"/>
          <w:sz w:val="28"/>
          <w:szCs w:val="28"/>
        </w:rPr>
        <w:t>在现场（非操作面）提供甲方或其它分包方施工所需的动力、调试及照明电源。</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③</w:t>
      </w:r>
      <w:r>
        <w:rPr>
          <w:rFonts w:hint="eastAsia" w:ascii="Times New Roman" w:hAnsi="Times New Roman" w:eastAsia="仿宋" w:cs="Times New Roman"/>
          <w:sz w:val="28"/>
          <w:szCs w:val="28"/>
        </w:rPr>
        <w:t>在现场（非操作面）提供足够的水源及调试用水。</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④</w:t>
      </w:r>
      <w:r>
        <w:rPr>
          <w:rFonts w:hint="eastAsia" w:ascii="Times New Roman" w:hAnsi="Times New Roman" w:eastAsia="仿宋" w:cs="Times New Roman"/>
          <w:sz w:val="28"/>
          <w:szCs w:val="28"/>
        </w:rPr>
        <w:t>负责将现场垃圾堆放到甲方指定地点并配合甲方装车。</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eastAsia="zh-CN"/>
        </w:rPr>
        <w:t>⑤</w:t>
      </w:r>
      <w:r>
        <w:rPr>
          <w:rFonts w:hint="eastAsia" w:ascii="Times New Roman" w:hAnsi="Times New Roman" w:eastAsia="仿宋" w:cs="Times New Roman"/>
          <w:sz w:val="28"/>
          <w:szCs w:val="28"/>
        </w:rPr>
        <w:t>提供现场的外脚手架防护和公共走道防护，防护标准符合甲方及重庆市的有关规定。</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10.20</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本合同未涉及其他事项严格执行项目部管理制度。</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若装饰由乙方施工，则地漏处有装饰面层的（含阳台、厨房、厕所），由乙方负责安装地漏，费用由乙方承担。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10.22</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所有门洞口均需按甲方确定的样板门洞尺寸作抹灰基层处理，不符合门窗洞口安装要求的必须无条件整改，费用由乙方承担、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清洁：由乙方负责施工过程及交工验收合格前全过程的清洁，做到工完场清。乙方需加强管理，避免草酸等化学物品使用过程中，对成品进行污染（如入户单元门、不锈钢面盆、浴巾架、门吸、栏杆等）；若发生污染，需要立即整改或者更换，由此所产生的一切处理费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10.24</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乙方在各单项工程大面积开展施工前，必须先做样板，待甲方会同有关单位点评验收合格后，方能大面积开展施工。做样板的主材由甲方提供，所产生的其余费用由乙方承担。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10.25</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因后期维护及维修导致工程成品（如面砖、乳胶漆面层等）被二次或多次破坏，乙方必须无条件进行修补，费用由乙方自行承担。当事人无法分清责任的，则由项目部划定责任比例，乙方需无条件认可。</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10.26</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卸料平台、卸料平台的吊环、外挑架及外挑架所需的工字钢等；以及所有预埋件的预埋和制作处理，并按甲方专项施工方案实施，不允许事后在梁板上打孔；</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10.27</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乙方必须积极配合甲方完成企业诚信评价的考核内容，从主体到资料等全部工作均应认真完成，否则将受甲方的相应经济处罚。</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10.28</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乙方超过双方约定的材料定额损耗量，按实际量、按市场价从合同款中扣款，由乙方全部承担。若有节余，则节余材料归甲方所有，可酌情对乙方进行奖励。</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10.29</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乙方所有施工人员均应遵守劳动纪律，严禁现场打架斗殴，否则，每出现一次，乙方应向甲方支付违约金</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元，情节严重的，移送公安机关处理。</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10.30</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乙方生产负责人________必须保证进场后的前三个月每天至少有半天在施工现场进行管理工作，若未达到本要求按5000元/次进行违约处理，如遇特殊情况，须报甲方项目经理同意后方可请假。</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10.31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乙方提供给甲方的增值税</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发票必须符合甲方验票、抵扣的要求，乙方必须在发票开具之日起120天之内将发票送达甲方，若因乙方未及时提供增值税专用发票送达甲方导致甲方无法抵扣，甲方所有经济损失及责任全部由乙方承担。</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乙方承诺、保证并同意：</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1</w:t>
      </w:r>
      <w:r>
        <w:rPr>
          <w:rFonts w:hint="eastAsia" w:ascii="Times New Roman" w:hAnsi="Times New Roman" w:eastAsia="仿宋"/>
          <w:sz w:val="28"/>
          <w:szCs w:val="28"/>
          <w:lang w:eastAsia="zh-CN"/>
        </w:rPr>
        <w:t>.</w:t>
      </w:r>
      <w:r>
        <w:rPr>
          <w:rFonts w:hint="eastAsia" w:ascii="Times New Roman" w:hAnsi="Times New Roman" w:eastAsia="仿宋"/>
          <w:sz w:val="28"/>
          <w:szCs w:val="28"/>
        </w:rPr>
        <w:t>已经收到并知晓重庆对外建设集团合规管理要求，同意遵守所有适用的法律、法规及行业行为准则以及重庆对外建设集团诚信合规管理办法，禁止欺诈、腐败、贿赂等不当行为。</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2</w:t>
      </w:r>
      <w:r>
        <w:rPr>
          <w:rFonts w:hint="eastAsia" w:ascii="Times New Roman" w:hAnsi="Times New Roman" w:eastAsia="仿宋"/>
          <w:sz w:val="28"/>
          <w:szCs w:val="28"/>
          <w:lang w:eastAsia="zh-CN"/>
        </w:rPr>
        <w:t>.</w:t>
      </w:r>
      <w:r>
        <w:rPr>
          <w:rFonts w:hint="eastAsia" w:ascii="Times New Roman" w:hAnsi="Times New Roman" w:eastAsia="仿宋"/>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（1）政府的官员、员工和代表，以及代表政府行事的其他人员（或其他被授权行使公权力的人员）；</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（2）国际组织的领导、官员和代表；</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（3）政府机构候选人，政党领导、员工和代表，王室成员；</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（4）国有或国家控股公司或实体的官员和员工；</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rPr>
        <w:t xml:space="preserve">（5）上述人员的近亲属或紧密关系人。 </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3</w:t>
      </w:r>
      <w:r>
        <w:rPr>
          <w:rFonts w:hint="eastAsia" w:ascii="Times New Roman" w:hAnsi="Times New Roman" w:eastAsia="仿宋"/>
          <w:sz w:val="28"/>
          <w:szCs w:val="28"/>
          <w:lang w:eastAsia="zh-CN"/>
        </w:rPr>
        <w:t>.</w:t>
      </w:r>
      <w:r>
        <w:rPr>
          <w:rFonts w:hint="eastAsia" w:ascii="Times New Roman" w:hAnsi="Times New Roman" w:eastAsia="仿宋"/>
          <w:sz w:val="28"/>
          <w:szCs w:val="28"/>
        </w:rPr>
        <w:t>不存在任何针对乙方或其任何高管和员工的正在进行的刑事调查，也没有因与贿赂、腐败或违反商业法律有关的不当行为而在中国或其他国家受过民事或刑事执行措施。</w:t>
      </w:r>
    </w:p>
    <w:p>
      <w:pPr>
        <w:keepNext w:val="0"/>
        <w:keepLines w:val="0"/>
        <w:pageBreakBefore w:val="0"/>
        <w:widowControl w:val="0"/>
        <w:kinsoku/>
        <w:wordWrap/>
        <w:overflowPunct/>
        <w:topLinePunct w:val="0"/>
        <w:autoSpaceDE/>
        <w:autoSpaceDN/>
        <w:bidi w:val="0"/>
        <w:spacing w:line="560" w:lineRule="exact"/>
        <w:ind w:firstLine="560" w:firstLineChars="200"/>
        <w:textAlignment w:val="auto"/>
        <w:rPr>
          <w:rFonts w:hint="eastAsia" w:ascii="Times New Roman" w:hAnsi="Times New Roman" w:eastAsia="仿宋" w:cs="Times New Roman"/>
          <w:b/>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4</w:t>
      </w:r>
      <w:r>
        <w:rPr>
          <w:rFonts w:hint="eastAsia" w:ascii="Times New Roman" w:hAnsi="Times New Roman" w:eastAsia="仿宋"/>
          <w:sz w:val="28"/>
          <w:szCs w:val="28"/>
          <w:lang w:eastAsia="zh-CN"/>
        </w:rPr>
        <w:t>.</w:t>
      </w:r>
      <w:r>
        <w:rPr>
          <w:rFonts w:hint="eastAsia" w:ascii="Times New Roman" w:hAnsi="Times New Roman" w:eastAsia="仿宋"/>
          <w:sz w:val="28"/>
          <w:szCs w:val="28"/>
        </w:rPr>
        <w:t>违反上述规定，</w:t>
      </w:r>
      <w:r>
        <w:rPr>
          <w:rFonts w:hint="eastAsia" w:ascii="Times New Roman" w:hAnsi="Times New Roman" w:eastAsia="仿宋"/>
          <w:sz w:val="28"/>
          <w:szCs w:val="28"/>
          <w:lang w:eastAsia="zh-CN"/>
        </w:rPr>
        <w:t>甲方</w:t>
      </w:r>
      <w:r>
        <w:rPr>
          <w:rFonts w:hint="eastAsia" w:ascii="Times New Roman" w:hAnsi="Times New Roman" w:eastAsia="仿宋"/>
          <w:sz w:val="28"/>
          <w:szCs w:val="28"/>
        </w:rPr>
        <w:t>有权立即解除合同并追偿损失。</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第十一条 保证金</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11.1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应在本合同签订之日后5个工作日内向甲方交纳履约、质量、工期、安全文明施工的履约保证金人民币______元（不计息），履约保证金的50%同时作为质量安全保证金。在施工过程中因乙方未能有效组织项目实施所产生的各种罚款，甲方有权在履约保证金中双倍扣除进行罚款。为保证劳务分包的顺利进行，履约保证金中含民工工资保险金。</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11.2</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履约保证金退还时间：主体工程竣工验收合格</w:t>
      </w:r>
      <w:r>
        <w:rPr>
          <w:rFonts w:hint="eastAsia" w:ascii="Times New Roman" w:hAnsi="Times New Roman" w:eastAsia="仿宋" w:cs="Times New Roman"/>
          <w:sz w:val="28"/>
          <w:szCs w:val="28"/>
          <w:u w:val="single"/>
        </w:rPr>
        <w:t>（以xx文件的记载为准）</w:t>
      </w:r>
      <w:r>
        <w:rPr>
          <w:rFonts w:hint="eastAsia" w:ascii="Times New Roman" w:hAnsi="Times New Roman" w:eastAsia="仿宋" w:cs="Times New Roman"/>
          <w:sz w:val="28"/>
          <w:szCs w:val="28"/>
        </w:rPr>
        <w:t>且本合同项下劳务分包结算完成，经甲方</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确认后</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日内，甲方不计息退还乙方履约保证金（扣除各种违约处罚金）。</w:t>
      </w:r>
    </w:p>
    <w:p>
      <w:pPr>
        <w:spacing w:line="360" w:lineRule="auto"/>
        <w:ind w:firstLine="560" w:firstLineChars="200"/>
        <w:outlineLvl w:val="5"/>
        <w:rPr>
          <w:rFonts w:hint="eastAsia" w:ascii="Times New Roman" w:hAnsi="Times New Roman" w:eastAsia="仿宋" w:cs="Times New Roman"/>
          <w:b/>
          <w:sz w:val="28"/>
          <w:szCs w:val="28"/>
        </w:rPr>
      </w:pPr>
      <w:r>
        <w:rPr>
          <w:rFonts w:hint="eastAsia" w:ascii="Times New Roman" w:hAnsi="Times New Roman" w:eastAsia="仿宋" w:cs="Times New Roman"/>
          <w:sz w:val="28"/>
          <w:szCs w:val="28"/>
        </w:rPr>
        <w:t>11.3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第十二条 单价结算方式</w:t>
      </w:r>
    </w:p>
    <w:p>
      <w:pPr>
        <w:spacing w:line="360" w:lineRule="auto"/>
        <w:ind w:firstLine="560" w:firstLineChars="200"/>
        <w:rPr>
          <w:rFonts w:hint="eastAsia" w:ascii="Times New Roman" w:hAnsi="Times New Roman" w:eastAsia="仿宋" w:cs="Times New Roman"/>
          <w:sz w:val="28"/>
          <w:szCs w:val="28"/>
          <w:u w:val="single"/>
        </w:rPr>
      </w:pPr>
      <w:r>
        <w:rPr>
          <w:rFonts w:hint="eastAsia" w:ascii="Times New Roman" w:hAnsi="Times New Roman" w:eastAsia="仿宋" w:cs="Times New Roman"/>
          <w:sz w:val="28"/>
          <w:szCs w:val="28"/>
        </w:rPr>
        <w:t>12.1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本工程采用</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方式。</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12.2.</w:t>
      </w:r>
      <w:r>
        <w:rPr>
          <w:rFonts w:hint="eastAsia" w:ascii="Times New Roman" w:hAnsi="Times New Roman" w:eastAsia="仿宋" w:cs="Times New Roman"/>
          <w:sz w:val="28"/>
          <w:szCs w:val="28"/>
        </w:rPr>
        <w:t>本工程中所有的单价和综合单价均已包括但不限于质量、工期、安全文明施工组织管理措施、技术措施、抢工措施等所有措施费用和现场其他分包施工单位的配合费用；人工费、设备及材料在施工期间的涨价等市场风险费用；劳动保护的投入、劳务公司管理费、利润、税金、保险、安全风险、乙方原因的返工、窝工、罚款及其他不可预见因素的包干费用。其中，合同范围外产生的计日工按现场计日工签证按实计算，平工按</w:t>
      </w:r>
      <w:r>
        <w:rPr>
          <w:rFonts w:hint="eastAsia" w:ascii="Times New Roman" w:hAnsi="Times New Roman" w:eastAsia="仿宋" w:cs="Times New Roman"/>
          <w:sz w:val="28"/>
          <w:szCs w:val="28"/>
          <w:u w:val="single"/>
        </w:rPr>
        <w:t>_____</w:t>
      </w:r>
      <w:r>
        <w:rPr>
          <w:rFonts w:hint="eastAsia" w:ascii="Times New Roman" w:hAnsi="Times New Roman" w:eastAsia="仿宋" w:cs="Times New Roman"/>
          <w:sz w:val="28"/>
          <w:szCs w:val="28"/>
        </w:rPr>
        <w:t>元/工日，技工按</w:t>
      </w:r>
      <w:r>
        <w:rPr>
          <w:rFonts w:hint="eastAsia" w:ascii="Times New Roman" w:hAnsi="Times New Roman" w:eastAsia="仿宋" w:cs="Times New Roman"/>
          <w:sz w:val="28"/>
          <w:szCs w:val="28"/>
          <w:u w:val="single"/>
        </w:rPr>
        <w:t>_____</w:t>
      </w:r>
      <w:r>
        <w:rPr>
          <w:rFonts w:hint="eastAsia" w:ascii="Times New Roman" w:hAnsi="Times New Roman" w:eastAsia="仿宋" w:cs="Times New Roman"/>
          <w:sz w:val="28"/>
          <w:szCs w:val="28"/>
        </w:rPr>
        <w:t>元/工日计算。</w:t>
      </w:r>
    </w:p>
    <w:p>
      <w:pPr>
        <w:spacing w:line="360" w:lineRule="auto"/>
        <w:ind w:firstLine="555"/>
        <w:rPr>
          <w:rFonts w:hint="eastAsia" w:ascii="Times New Roman" w:hAnsi="Times New Roman" w:eastAsia="仿宋" w:cs="Times New Roman"/>
          <w:bCs/>
          <w:sz w:val="28"/>
          <w:szCs w:val="28"/>
        </w:rPr>
      </w:pPr>
      <w:r>
        <w:rPr>
          <w:rFonts w:hint="eastAsia" w:ascii="Times New Roman" w:hAnsi="Times New Roman" w:eastAsia="仿宋" w:cs="Times New Roman"/>
          <w:sz w:val="28"/>
          <w:szCs w:val="28"/>
          <w:lang w:val="en-US" w:eastAsia="zh-CN"/>
        </w:rPr>
        <w:t>12.3.</w:t>
      </w:r>
      <w:r>
        <w:rPr>
          <w:rFonts w:hint="eastAsia" w:ascii="Times New Roman" w:hAnsi="Times New Roman" w:eastAsia="仿宋" w:cs="Times New Roman"/>
          <w:sz w:val="28"/>
          <w:szCs w:val="28"/>
        </w:rPr>
        <w:t>单项包干计价或综合包干计价均为包干价，不再计取其它任何费用。</w:t>
      </w:r>
      <w:r>
        <w:rPr>
          <w:rFonts w:hint="eastAsia" w:ascii="Times New Roman" w:hAnsi="Times New Roman" w:eastAsia="仿宋" w:cs="Times New Roman"/>
          <w:bCs/>
          <w:sz w:val="28"/>
          <w:szCs w:val="28"/>
        </w:rPr>
        <w:t>乙方全部承担管理费，增值税、印花税、企业（个人）所得税等税费。</w:t>
      </w:r>
    </w:p>
    <w:p>
      <w:pPr>
        <w:spacing w:line="360" w:lineRule="auto"/>
        <w:ind w:firstLine="555"/>
        <w:rPr>
          <w:rFonts w:hint="eastAsia" w:ascii="Times New Roman" w:hAnsi="Times New Roman" w:eastAsia="仿宋" w:cs="Times New Roman"/>
          <w:bCs/>
          <w:sz w:val="28"/>
          <w:szCs w:val="28"/>
        </w:rPr>
      </w:pPr>
      <w:r>
        <w:rPr>
          <w:rFonts w:hint="eastAsia" w:ascii="Times New Roman" w:hAnsi="Times New Roman" w:eastAsia="仿宋" w:cs="Times New Roman"/>
          <w:bCs/>
          <w:sz w:val="28"/>
          <w:szCs w:val="28"/>
          <w:lang w:val="en-US" w:eastAsia="zh-CN"/>
        </w:rPr>
        <w:t>12.4.</w:t>
      </w:r>
      <w:r>
        <w:rPr>
          <w:rFonts w:hint="eastAsia" w:ascii="Times New Roman" w:hAnsi="Times New Roman" w:eastAsia="仿宋" w:cs="Times New Roman"/>
          <w:bCs/>
          <w:sz w:val="28"/>
          <w:szCs w:val="28"/>
        </w:rPr>
        <w:t>合同清单单价均为包干价，该单价均含本工程（除特别约定不属于乙方施工范围外）所有工作内容，即包括工程进场开工至工程竣工验收及整修、回访的所有工作内容。</w:t>
      </w:r>
    </w:p>
    <w:p>
      <w:pPr>
        <w:spacing w:line="360" w:lineRule="auto"/>
        <w:ind w:firstLine="560" w:firstLineChars="200"/>
        <w:rPr>
          <w:rFonts w:hint="eastAsia" w:ascii="Times New Roman" w:hAnsi="Times New Roman" w:eastAsia="仿宋" w:cs="Times New Roman"/>
          <w:i/>
          <w:iCs/>
          <w:color w:val="C00000"/>
          <w:sz w:val="28"/>
          <w:szCs w:val="28"/>
          <w:u w:val="single"/>
          <w:lang w:val="en-US" w:eastAsia="zh-CN"/>
        </w:rPr>
      </w:pPr>
      <w:r>
        <w:rPr>
          <w:rFonts w:hint="eastAsia" w:ascii="Times New Roman" w:hAnsi="Times New Roman" w:eastAsia="仿宋" w:cs="Times New Roman"/>
          <w:sz w:val="28"/>
          <w:szCs w:val="28"/>
        </w:rPr>
        <w:t>12.</w:t>
      </w:r>
      <w:r>
        <w:rPr>
          <w:rFonts w:hint="eastAsia" w:ascii="Times New Roman" w:hAnsi="Times New Roman" w:eastAsia="仿宋" w:cs="Times New Roman"/>
          <w:sz w:val="28"/>
          <w:szCs w:val="28"/>
          <w:lang w:val="en-US" w:eastAsia="zh-CN"/>
        </w:rPr>
        <w:t>5.</w:t>
      </w:r>
      <w:r>
        <w:rPr>
          <w:rFonts w:hint="eastAsia" w:ascii="Times New Roman" w:hAnsi="Times New Roman" w:eastAsia="仿宋" w:cs="Times New Roman"/>
          <w:sz w:val="28"/>
          <w:szCs w:val="28"/>
        </w:rPr>
        <w:t>分部分项工程包干单价表</w:t>
      </w:r>
      <w:r>
        <w:rPr>
          <w:rFonts w:hint="eastAsia" w:ascii="Times New Roman" w:hAnsi="Times New Roman" w:eastAsia="仿宋" w:cs="Times New Roman"/>
          <w:sz w:val="28"/>
          <w:szCs w:val="28"/>
          <w:lang w:eastAsia="zh-CN"/>
        </w:rPr>
        <w:t>见</w:t>
      </w:r>
      <w:r>
        <w:rPr>
          <w:rFonts w:hint="eastAsia" w:ascii="Times New Roman" w:hAnsi="Times New Roman" w:eastAsia="仿宋" w:cs="Times New Roman"/>
          <w:b/>
          <w:bCs/>
          <w:color w:val="0000FF"/>
          <w:sz w:val="28"/>
          <w:szCs w:val="28"/>
          <w:u w:val="single"/>
          <w:lang w:eastAsia="zh-CN"/>
        </w:rPr>
        <w:t>合同附件</w:t>
      </w:r>
      <w:r>
        <w:rPr>
          <w:rFonts w:hint="eastAsia" w:ascii="Times New Roman" w:hAnsi="Times New Roman" w:eastAsia="仿宋" w:cs="Times New Roman"/>
          <w:b/>
          <w:bCs/>
          <w:color w:val="0000FF"/>
          <w:sz w:val="28"/>
          <w:szCs w:val="28"/>
          <w:u w:val="single"/>
          <w:lang w:val="en-US" w:eastAsia="zh-CN"/>
        </w:rPr>
        <w:t>1.合同清单</w:t>
      </w:r>
    </w:p>
    <w:p>
      <w:pPr>
        <w:spacing w:line="360" w:lineRule="auto"/>
        <w:ind w:firstLine="562" w:firstLineChars="200"/>
        <w:outlineLvl w:val="0"/>
        <w:rPr>
          <w:rFonts w:hint="eastAsia"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第十三条 款项支付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工程预付款：甲方不向乙方预付工程款。</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13.2</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合同价格约定：本合同约定的价格包括乙方为完成本工程范围内每单位工程量及承担缺陷责任维修所需的一切费用（含为完成本工程所需的所有临时设施费）及隐含风险在内的费用总和。</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工程量确定：乙方向甲方提交的已完成并经甲方</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批复的合格工程量为准。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13.4</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工程款（进度款）支付：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支付方式：</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13.5</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若因发包方的原因延迟工程付款，乙方同意自行解决人工费、租赁费等资金问题，并且保证正常生产，不得以此为由进行停工、闹事、讨薪或其它任何会产生不良影响的行为；否则甲方有权要求乙方无条件退场，或要求乙方支付违约金5000元/次。</w:t>
      </w:r>
    </w:p>
    <w:p>
      <w:pPr>
        <w:spacing w:line="360" w:lineRule="auto"/>
        <w:ind w:firstLine="560" w:firstLineChars="200"/>
        <w:rPr>
          <w:rFonts w:hint="eastAsia" w:ascii="Times New Roman" w:hAnsi="Times New Roman" w:eastAsia="仿宋" w:cs="Times New Roman"/>
          <w:sz w:val="28"/>
          <w:szCs w:val="28"/>
        </w:rPr>
      </w:pPr>
      <w:bookmarkStart w:id="106" w:name="_Hlk12821706"/>
      <w:r>
        <w:rPr>
          <w:rFonts w:hint="eastAsia" w:ascii="Times New Roman" w:hAnsi="Times New Roman" w:eastAsia="仿宋" w:cs="Times New Roman"/>
          <w:sz w:val="28"/>
          <w:szCs w:val="28"/>
        </w:rPr>
        <w:t>13.6</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工程结算：本工程结算以实际完成为结算依据，由现场工程师出具工程量结算单，经甲方复核并书面</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确认后方可有效，凭该结算单办理中间结算及决算。施工时实际工程量的变动不会降低或影响合同条件的效力，也不能免除乙方按规定标准进行施工和修复缺陷的责任。</w:t>
      </w:r>
    </w:p>
    <w:bookmarkEnd w:id="106"/>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13.7</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甲方每次付款前，乙方必须提供以下资料：</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13.7</w:t>
      </w:r>
      <w:r>
        <w:rPr>
          <w:rFonts w:hint="eastAsia" w:ascii="Times New Roman" w:hAnsi="Times New Roman" w:eastAsia="仿宋" w:cs="Times New Roman"/>
          <w:sz w:val="28"/>
          <w:szCs w:val="28"/>
          <w:lang w:val="en-US" w:eastAsia="zh-CN"/>
        </w:rPr>
        <w:t>.1.</w:t>
      </w:r>
      <w:r>
        <w:rPr>
          <w:rFonts w:hint="eastAsia" w:ascii="Times New Roman" w:hAnsi="Times New Roman" w:eastAsia="仿宋" w:cs="Times New Roman"/>
          <w:sz w:val="28"/>
          <w:szCs w:val="28"/>
        </w:rPr>
        <w:t>计量证书或结算书。</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13.7</w:t>
      </w:r>
      <w:r>
        <w:rPr>
          <w:rFonts w:hint="eastAsia" w:ascii="Times New Roman" w:hAnsi="Times New Roman" w:eastAsia="仿宋" w:cs="Times New Roman"/>
          <w:sz w:val="28"/>
          <w:szCs w:val="28"/>
          <w:lang w:val="en-US" w:eastAsia="zh-CN"/>
        </w:rPr>
        <w:t>.2.</w:t>
      </w:r>
      <w:r>
        <w:rPr>
          <w:rFonts w:hint="eastAsia" w:ascii="Times New Roman" w:hAnsi="Times New Roman" w:eastAsia="仿宋" w:cs="Times New Roman"/>
          <w:sz w:val="28"/>
          <w:szCs w:val="28"/>
        </w:rPr>
        <w:t>全额增值税发票，在增值税专用发票备注栏内注明“项目名称”（应与项目《施工合同》的项目名称一致）和“项目所在地”（应详细写清“XX市XX区XX”等），发票不满足要求的，甲方有权拒绝付款。所涉及的税费由乙方全额缴纳并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13.7</w:t>
      </w:r>
      <w:r>
        <w:rPr>
          <w:rFonts w:hint="eastAsia" w:ascii="Times New Roman" w:hAnsi="Times New Roman" w:eastAsia="仿宋" w:cs="Times New Roman"/>
          <w:sz w:val="28"/>
          <w:szCs w:val="28"/>
          <w:lang w:val="en-US" w:eastAsia="zh-CN"/>
        </w:rPr>
        <w:t>.3.</w:t>
      </w:r>
      <w:r>
        <w:rPr>
          <w:rFonts w:hint="eastAsia" w:ascii="Times New Roman" w:hAnsi="Times New Roman" w:eastAsia="仿宋" w:cs="Times New Roman"/>
          <w:sz w:val="28"/>
          <w:szCs w:val="28"/>
        </w:rPr>
        <w:t>乙方出具的委托代理人权限的《领款委托书》。</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13.7</w:t>
      </w:r>
      <w:r>
        <w:rPr>
          <w:rFonts w:hint="eastAsia" w:ascii="Times New Roman" w:hAnsi="Times New Roman" w:eastAsia="仿宋" w:cs="Times New Roman"/>
          <w:color w:val="000000"/>
          <w:sz w:val="28"/>
          <w:szCs w:val="28"/>
          <w:lang w:val="en-US" w:eastAsia="zh-CN"/>
        </w:rPr>
        <w:t>.4.</w:t>
      </w:r>
      <w:r>
        <w:rPr>
          <w:rFonts w:hint="eastAsia" w:ascii="Times New Roman" w:hAnsi="Times New Roman" w:eastAsia="仿宋" w:cs="Times New Roman"/>
          <w:color w:val="000000"/>
          <w:sz w:val="28"/>
          <w:szCs w:val="28"/>
        </w:rPr>
        <w:t>加盖乙方单位公章的工资单及领款人的身份证复印件。</w:t>
      </w:r>
    </w:p>
    <w:p>
      <w:pPr>
        <w:spacing w:line="360" w:lineRule="auto"/>
        <w:ind w:firstLine="560" w:firstLineChars="200"/>
        <w:rPr>
          <w:rFonts w:hint="eastAsia" w:ascii="Times New Roman" w:hAnsi="Times New Roman" w:eastAsia="仿宋" w:cs="Times New Roman"/>
          <w:color w:val="000000"/>
          <w:sz w:val="28"/>
          <w:szCs w:val="28"/>
          <w:lang w:val="en-US" w:eastAsia="zh-CN"/>
        </w:rPr>
      </w:pPr>
      <w:r>
        <w:rPr>
          <w:rFonts w:hint="eastAsia" w:ascii="Times New Roman" w:hAnsi="Times New Roman" w:eastAsia="仿宋" w:cs="Times New Roman"/>
          <w:color w:val="000000"/>
          <w:sz w:val="28"/>
          <w:szCs w:val="28"/>
          <w:lang w:val="en-US" w:eastAsia="zh-CN"/>
        </w:rPr>
        <w:t>13.7.5.乙方必须按法律法规、地方规定、甲方公司相关制度向甲方提交经民工本人签字的民工工资表、花名册、考勤记录等资料。</w:t>
      </w:r>
    </w:p>
    <w:p>
      <w:pPr>
        <w:spacing w:line="360" w:lineRule="auto"/>
        <w:ind w:firstLine="562" w:firstLineChars="200"/>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rPr>
        <w:t>第十四条 农民工工资</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14.1</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乙方必须与农民工签订劳动用工合同。乙方应严格按照法律、法规的规定按时足额发放农民工和所雇人员的工资，不得拖欠。</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14.2</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乙方必须按法律法规、地方规定、甲方公司相关制度向甲方提交经民工本人签字的民工工资表、花名册、考勤记录等资料</w:t>
      </w:r>
      <w:r>
        <w:rPr>
          <w:rFonts w:hint="eastAsia" w:ascii="Times New Roman" w:hAnsi="Times New Roman" w:eastAsia="仿宋" w:cs="Times New Roman"/>
          <w:color w:val="000000"/>
          <w:sz w:val="28"/>
          <w:szCs w:val="28"/>
          <w:lang w:eastAsia="zh-CN"/>
        </w:rPr>
        <w:t>。</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color w:val="000000"/>
          <w:sz w:val="28"/>
          <w:szCs w:val="28"/>
          <w:lang w:val="en-US" w:eastAsia="zh-CN"/>
        </w:rPr>
        <w:t>14.3.</w:t>
      </w:r>
      <w:r>
        <w:rPr>
          <w:rFonts w:hint="eastAsia" w:ascii="Times New Roman" w:hAnsi="Times New Roman" w:eastAsia="仿宋" w:cs="Times New Roman"/>
          <w:color w:val="000000"/>
          <w:sz w:val="28"/>
          <w:szCs w:val="28"/>
        </w:rPr>
        <w:t>若因乙方未按时足额发放其农民工和所雇人员的工资而导致影响现场</w:t>
      </w:r>
      <w:r>
        <w:rPr>
          <w:rFonts w:hint="eastAsia" w:ascii="Times New Roman" w:hAnsi="Times New Roman" w:eastAsia="仿宋" w:cs="Times New Roman"/>
          <w:sz w:val="28"/>
          <w:szCs w:val="28"/>
        </w:rPr>
        <w:t>正常生产，一经甲方调查属实，甲方可代乙方直接垫付该部分工资；在合同约定支付乙方工程款时甲方财务直接扣回甲方为乙方所垫付工资款，乙方应承担甲方垫付工资额双倍金额的违约金，并承担给甲方造成的损失。</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14.</w:t>
      </w:r>
      <w:r>
        <w:rPr>
          <w:rFonts w:hint="eastAsia" w:ascii="Times New Roman" w:hAnsi="Times New Roman" w:eastAsia="仿宋" w:cs="Times New Roman"/>
          <w:sz w:val="28"/>
          <w:szCs w:val="28"/>
          <w:lang w:val="en-US" w:eastAsia="zh-CN"/>
        </w:rPr>
        <w:t>4.</w:t>
      </w:r>
      <w:r>
        <w:rPr>
          <w:rFonts w:hint="eastAsia" w:ascii="Times New Roman" w:hAnsi="Times New Roman" w:eastAsia="仿宋" w:cs="Times New Roman"/>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第十五条 质量要求</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本工程乙方必须按总包合同有关质量约定，并按照国家和地方政府颁布现行的</w:t>
      </w:r>
      <w:r>
        <w:rPr>
          <w:rFonts w:hint="eastAsia" w:ascii="Times New Roman" w:hAnsi="Times New Roman" w:eastAsia="仿宋" w:cs="Times New Roman"/>
          <w:sz w:val="28"/>
          <w:szCs w:val="28"/>
          <w:u w:val="single"/>
        </w:rPr>
        <w:t>《xxxxxx》、《xxxxxxx》</w:t>
      </w:r>
      <w:r>
        <w:rPr>
          <w:rFonts w:hint="eastAsia" w:ascii="Times New Roman" w:hAnsi="Times New Roman" w:eastAsia="仿宋" w:cs="Times New Roman"/>
          <w:sz w:val="28"/>
          <w:szCs w:val="28"/>
        </w:rPr>
        <w:t>、相关规范、规程、质量、标准、工艺标准、设计施工图、施工方案进行施工，严格按国家和地方相关规定执行。乙方完成的工程达不到约定质量标准的部分，乙方应按照监理或甲方的要求返工，直到符合约定的标准，由此发生的一切费用均由乙方承担。</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15.2</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应依据甲方制定的质量管理计划，编制相应劳务分包工程的质量控制措施，并报甲方审定后实施。乙方在施工中服从甲方的质量方面的管理，因乙方的责任造成的质量问题和事故，由乙方承担由此产生一切法律后果和责任。</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工程推行样板引路制度，每个分项工程正式施工前必须做样板，经甲方书面同意后才能实施下一道工序。</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15.4</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本工程各分项、分部、单位工程必须100%的一次交验合格；主控项目和一般项目合格率100%。</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15.5</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隐蔽工程，须验收合格后，方可进入下一道工序施工。隐蔽工作报验前乙方必须进行自检，在自检合格后报甲方质检员进行检查，如甲方项目部检查不合格的，乙方必须组织相应人员进行及时整改，整改效率不能影响整体施工进度要求，在约定时间内未能整改完毕影响报验，每次在保证金中扣除违约金</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元；在复验不能通过的情况下，每次在质量保证金中扣除违约金</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元。如因乙方原因造成重大质量事故，必须承担所有经济责任和法律责任；乙方承诺在甲方多次确认工程和质量无法满足合格标准的情况下，无条件退场，履约保证金不退还。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15.6</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承包范围内的工作内容如出现质量缺陷或不满足设计、规范要求的，影响后续施工，乙方必须无条件进行整改和修复，工期不予顺延。若未能按要求及时整改修复的，甲方有权组织人员对其进行整改修复，其产生的相关费用由乙方自行全部承担，甲方有权从乙方的工程款中扣除并代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15.7</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根据甲方要求首先进行自检、互检、交接检并做好记录，合格后方可要求甲方质检员进行验收。对不进行自检、互检、交接检或无记录或记录与事实不符即要求甲方质检员验收，每发生一次，甲方要求乙方支付违约金100</w:t>
      </w:r>
      <w:r>
        <w:rPr>
          <w:rFonts w:ascii="Times New Roman" w:hAnsi="Times New Roman" w:eastAsia="仿宋" w:cs="Times New Roman"/>
          <w:sz w:val="28"/>
          <w:szCs w:val="28"/>
        </w:rPr>
        <w:t>0</w:t>
      </w:r>
      <w:r>
        <w:rPr>
          <w:rFonts w:hint="eastAsia" w:ascii="Times New Roman" w:hAnsi="Times New Roman" w:eastAsia="仿宋" w:cs="Times New Roman"/>
          <w:sz w:val="28"/>
          <w:szCs w:val="28"/>
        </w:rPr>
        <w:t>元。</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15.8</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甲方质检员在施工过程中或验收评定时提出的整改意见，乙方必须照章执行，对拒不执行整改意见的，或整改不及时的，或整改后仍达不到质量要求的，甲方要求乙方支付违约金500-1000元/次 。</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15.9</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其他质量管理办法按照《重庆对外建设(集团)有限公司关于&lt;工程质量管理办法&gt;的通知》(渝外建发〔2015〕136号)</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《重庆对外建设(集团)有限公司</w:t>
      </w:r>
      <w:r>
        <w:rPr>
          <w:rFonts w:hint="eastAsia" w:ascii="Times New Roman" w:hAnsi="Times New Roman" w:eastAsia="仿宋" w:cs="Times New Roman"/>
          <w:color w:val="000000"/>
          <w:sz w:val="28"/>
          <w:szCs w:val="28"/>
          <w:lang w:val="en-US" w:eastAsia="zh-CN"/>
        </w:rPr>
        <w:t xml:space="preserve"> </w:t>
      </w:r>
      <w:r>
        <w:rPr>
          <w:rFonts w:hint="eastAsia" w:ascii="Times New Roman" w:hAnsi="Times New Roman" w:eastAsia="仿宋" w:cs="Times New Roman"/>
          <w:color w:val="000000"/>
          <w:sz w:val="28"/>
          <w:szCs w:val="28"/>
        </w:rPr>
        <w:t>工程质量监督检查管理办法（试行）》</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渝外建发〔2020〕69号</w:t>
      </w:r>
      <w:r>
        <w:rPr>
          <w:rFonts w:hint="eastAsia" w:ascii="Times New Roman" w:hAnsi="Times New Roman" w:eastAsia="仿宋" w:cs="Times New Roman"/>
          <w:color w:val="000000"/>
          <w:sz w:val="28"/>
          <w:szCs w:val="28"/>
          <w:lang w:eastAsia="zh-CN"/>
        </w:rPr>
        <w:t>）等制度</w:t>
      </w:r>
      <w:r>
        <w:rPr>
          <w:rFonts w:hint="eastAsia" w:ascii="Times New Roman" w:hAnsi="Times New Roman" w:eastAsia="仿宋" w:cs="Times New Roman"/>
          <w:color w:val="000000"/>
          <w:sz w:val="28"/>
          <w:szCs w:val="28"/>
        </w:rPr>
        <w:t>执行。</w:t>
      </w:r>
    </w:p>
    <w:p>
      <w:pPr>
        <w:spacing w:line="360" w:lineRule="auto"/>
        <w:ind w:firstLine="630" w:firstLineChars="225"/>
        <w:jc w:val="left"/>
        <w:rPr>
          <w:rFonts w:hint="eastAsia" w:ascii="Times New Roman" w:hAnsi="Times New Roman" w:eastAsia="仿宋" w:cs="Times New Roman"/>
          <w:color w:val="0000FF"/>
          <w:sz w:val="28"/>
          <w:szCs w:val="28"/>
        </w:rPr>
      </w:pPr>
      <w:r>
        <w:rPr>
          <w:rFonts w:hint="eastAsia" w:ascii="Times New Roman" w:hAnsi="Times New Roman" w:eastAsia="仿宋" w:cs="Times New Roman"/>
          <w:sz w:val="28"/>
          <w:szCs w:val="28"/>
        </w:rPr>
        <w:t>15.10</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控制质量的其他措施约定：</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第十六条 安全文明施工</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16.1</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16.2.</w:t>
      </w:r>
      <w:r>
        <w:rPr>
          <w:rFonts w:hint="eastAsia" w:ascii="Times New Roman" w:hAnsi="Times New Roman" w:eastAsia="仿宋" w:cs="Times New Roman"/>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16.3</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甲方应对其在施工场地的工作人员进行安全教育。甲方不得要求乙方违反安全管理的规定进行施工。乙方必须指定</w:t>
      </w:r>
      <w:r>
        <w:rPr>
          <w:rFonts w:hint="eastAsia" w:ascii="Times New Roman" w:hAnsi="Times New Roman" w:eastAsia="仿宋" w:cs="Times New Roman"/>
          <w:sz w:val="28"/>
          <w:szCs w:val="28"/>
          <w:u w:val="single"/>
        </w:rPr>
        <w:t>_______</w:t>
      </w:r>
      <w:r>
        <w:rPr>
          <w:rFonts w:hint="eastAsia" w:ascii="Times New Roman" w:hAnsi="Times New Roman" w:eastAsia="仿宋" w:cs="Times New Roman"/>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真配合甲方对进场人员进行“三级教育”，并如实认真填写“三级教育卡”和“安全技术交底卡”。乙方进场人员必须身体健康，符合国家劳动部门的有关规定，由慢性疾病（如心脏病、高血压）或阵发性疾病（癫疯病）及其他不满足用工要求的人员禁止入场施工。</w:t>
      </w:r>
    </w:p>
    <w:p>
      <w:pPr>
        <w:spacing w:line="360" w:lineRule="auto"/>
        <w:ind w:firstLine="560" w:firstLineChars="200"/>
        <w:rPr>
          <w:rFonts w:hint="eastAsia" w:ascii="Times New Roman" w:hAnsi="Times New Roman" w:eastAsia="仿宋" w:cs="Times New Roman"/>
          <w:color w:val="FF0000"/>
          <w:sz w:val="28"/>
          <w:szCs w:val="28"/>
        </w:rPr>
      </w:pPr>
      <w:r>
        <w:rPr>
          <w:rFonts w:hint="eastAsia" w:ascii="Times New Roman" w:hAnsi="Times New Roman" w:eastAsia="仿宋" w:cs="Times New Roman"/>
          <w:color w:val="000000"/>
          <w:sz w:val="28"/>
          <w:szCs w:val="28"/>
        </w:rPr>
        <w:t>16.4</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安全生产管理及事故责任风险包干费按乙方施工范围内</w:t>
      </w:r>
      <w:r>
        <w:rPr>
          <w:rFonts w:hint="eastAsia" w:ascii="Times New Roman" w:hAnsi="Times New Roman" w:eastAsia="仿宋" w:cs="Times New Roman"/>
          <w:color w:val="000000"/>
          <w:sz w:val="28"/>
          <w:szCs w:val="28"/>
          <w:u w:val="single"/>
        </w:rPr>
        <w:t xml:space="preserve">每建筑平方米 </w:t>
      </w: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 xml:space="preserve"> 元</w:t>
      </w:r>
      <w:r>
        <w:rPr>
          <w:rFonts w:hint="eastAsia" w:ascii="Times New Roman" w:hAnsi="Times New Roman" w:eastAsia="仿宋" w:cs="Times New Roman"/>
          <w:color w:val="000000"/>
          <w:sz w:val="28"/>
          <w:szCs w:val="28"/>
        </w:rPr>
        <w:t>包干，此费用已包含在前述包干总单价内。若乙方原因被政府主管部门处罚，其费用由乙方承担。乙方应负责大、小事故善后处理工作，不得给甲方造成负面社会影响，如因乙方处理不善给甲方造成负面影响，视情节严重甲方有权要求乙方支付违约金</w:t>
      </w:r>
      <w:r>
        <w:rPr>
          <w:rFonts w:hint="eastAsia" w:ascii="Times New Roman" w:hAnsi="Times New Roman" w:eastAsia="仿宋" w:cs="Times New Roman"/>
          <w:color w:val="000000"/>
          <w:sz w:val="28"/>
          <w:szCs w:val="28"/>
          <w:u w:val="none"/>
        </w:rPr>
        <w:t>5000-10000元/次</w:t>
      </w:r>
      <w:r>
        <w:rPr>
          <w:rFonts w:hint="eastAsia" w:ascii="Times New Roman" w:hAnsi="Times New Roman" w:eastAsia="仿宋" w:cs="Times New Roman"/>
          <w:color w:val="000000"/>
          <w:sz w:val="28"/>
          <w:szCs w:val="28"/>
        </w:rPr>
        <w:t>。乙方应向工人明确凡受伤或伤亡人员不得找甲方解决处理。</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16.5</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16.6</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向甲方支付违约金，违约金在保证金中扣除，乙方必须辞退不具备资格作业人员。</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16.7</w:t>
      </w:r>
      <w:r>
        <w:rPr>
          <w:rFonts w:hint="eastAsia" w:ascii="Times New Roman" w:hAnsi="Times New Roman" w:eastAsia="仿宋" w:cs="Times New Roman"/>
          <w:sz w:val="28"/>
          <w:szCs w:val="28"/>
          <w:lang w:val="en-US" w:eastAsia="zh-CN"/>
        </w:rPr>
        <w:t>.</w:t>
      </w:r>
      <w:r>
        <w:rPr>
          <w:rFonts w:hint="eastAsia" w:ascii="Times New Roman" w:hAnsi="Times New Roman" w:eastAsia="仿宋" w:cs="Times New Roman"/>
          <w:sz w:val="28"/>
          <w:szCs w:val="28"/>
        </w:rPr>
        <w:t>乙方施工人员必须无条件服从甲方安全员的监督管理。高危作业乙方必须提前3天以书面形式通知甲方，并提出相应的安全措施，经甲方认可后实施。</w:t>
      </w:r>
    </w:p>
    <w:p>
      <w:pPr>
        <w:spacing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16.8</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施工过程中，现场安全文明施工诚信评价考核按照公司《重庆对外建设（集团）有限公司关于实施项目诚信评价结果与进度款支付挂钩的通知》（渝外建</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2012</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264号）、《重庆对外建设（集团）有限公司关于加强项目诚信评价管理工作的通知》（渝外建发</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2015</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rPr>
        <w:t>203号）等公司相关管理办法、文件执行，由乙方造成项目诚信评价结果不达标，乙方应承担相应责任。</w:t>
      </w:r>
    </w:p>
    <w:p>
      <w:pPr>
        <w:spacing w:line="360" w:lineRule="auto"/>
        <w:ind w:firstLine="632" w:firstLineChars="225"/>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第十七条 工程竣工验收</w:t>
      </w:r>
    </w:p>
    <w:p>
      <w:pPr>
        <w:spacing w:line="360" w:lineRule="auto"/>
        <w:ind w:firstLine="630" w:firstLineChars="225"/>
        <w:rPr>
          <w:rFonts w:ascii="Times New Roman" w:hAnsi="Times New Roman" w:eastAsia="仿宋" w:cs="Times New Roman"/>
          <w:sz w:val="28"/>
          <w:szCs w:val="28"/>
        </w:rPr>
      </w:pPr>
      <w:r>
        <w:rPr>
          <w:rFonts w:hint="eastAsia" w:ascii="Times New Roman" w:hAnsi="Times New Roman" w:eastAsia="仿宋" w:cs="Times New Roman"/>
          <w:sz w:val="28"/>
          <w:szCs w:val="28"/>
        </w:rPr>
        <w:t>乙方应确保所完成施工的质量，应符合本合同约定的质量标准。乙方施工完毕，应向甲方提交完工报告，通知甲方验收；甲方应当在收到乙方的上述报告后</w:t>
      </w:r>
      <w:r>
        <w:rPr>
          <w:rFonts w:hint="eastAsia" w:ascii="Times New Roman" w:hAnsi="Times New Roman" w:eastAsia="仿宋" w:cs="Times New Roman"/>
          <w:sz w:val="28"/>
          <w:szCs w:val="28"/>
          <w:lang w:val="en-US" w:eastAsia="zh-CN"/>
        </w:rPr>
        <w:t>14</w:t>
      </w:r>
      <w:r>
        <w:rPr>
          <w:rFonts w:hint="eastAsia" w:ascii="Times New Roman" w:hAnsi="Times New Roman" w:eastAsia="仿宋" w:cs="Times New Roman"/>
          <w:sz w:val="28"/>
          <w:szCs w:val="28"/>
        </w:rPr>
        <w:t>天内对乙方施工成果进行验收，验收合格或者甲方在上述期限内未组织验收的，视为乙方已经完成了本合同约定工作。但隐蔽工程验收结果或工程竣工验收结果表明乙方施工质量不合格时，乙方应负责无偿修复，不延长工期，并承担由此导致的甲方的相关损失。</w:t>
      </w:r>
    </w:p>
    <w:p>
      <w:pPr>
        <w:spacing w:line="360" w:lineRule="auto"/>
        <w:ind w:firstLine="632" w:firstLineChars="225"/>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第十八条 </w:t>
      </w:r>
      <w:r>
        <w:rPr>
          <w:rFonts w:ascii="Times New Roman" w:hAnsi="Times New Roman" w:eastAsia="仿宋" w:cs="Times New Roman"/>
          <w:b/>
          <w:sz w:val="28"/>
          <w:szCs w:val="28"/>
        </w:rPr>
        <w:t xml:space="preserve"> </w:t>
      </w:r>
      <w:r>
        <w:rPr>
          <w:rFonts w:hint="eastAsia" w:ascii="Times New Roman" w:hAnsi="Times New Roman" w:eastAsia="仿宋" w:cs="Times New Roman"/>
          <w:b/>
          <w:sz w:val="28"/>
          <w:szCs w:val="28"/>
        </w:rPr>
        <w:t>工程结算</w:t>
      </w:r>
    </w:p>
    <w:p>
      <w:pPr>
        <w:spacing w:line="360" w:lineRule="auto"/>
        <w:ind w:firstLine="630" w:firstLineChars="225"/>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8.1</w:t>
      </w:r>
      <w:r>
        <w:rPr>
          <w:rFonts w:hint="eastAsia" w:ascii="Times New Roman" w:hAnsi="Times New Roman" w:eastAsia="仿宋" w:cs="Times New Roman"/>
          <w:sz w:val="28"/>
          <w:szCs w:val="28"/>
        </w:rPr>
        <w:t>工程竣工验收合格后</w:t>
      </w:r>
      <w:r>
        <w:rPr>
          <w:rFonts w:hint="eastAsia" w:ascii="Times New Roman" w:hAnsi="Times New Roman" w:eastAsia="仿宋" w:cs="Times New Roman"/>
          <w:sz w:val="28"/>
          <w:szCs w:val="28"/>
          <w:u w:val="single"/>
        </w:rPr>
        <w:t xml:space="preserve"> </w:t>
      </w:r>
      <w:r>
        <w:rPr>
          <w:rFonts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日内，乙方按要求编制劳务工程量结算清单，经甲方复核并</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确认后方可有效，经甲方</w:t>
      </w:r>
      <w:r>
        <w:rPr>
          <w:rFonts w:hint="eastAsia" w:ascii="Times New Roman" w:hAnsi="Times New Roman" w:eastAsia="仿宋" w:cs="Times New Roman"/>
          <w:color w:val="0000FF"/>
          <w:sz w:val="28"/>
          <w:szCs w:val="28"/>
          <w:lang w:eastAsia="zh-CN"/>
        </w:rPr>
        <w:t>审签</w:t>
      </w:r>
      <w:r>
        <w:rPr>
          <w:rFonts w:hint="eastAsia" w:ascii="Times New Roman" w:hAnsi="Times New Roman" w:eastAsia="仿宋" w:cs="Times New Roman"/>
          <w:sz w:val="28"/>
          <w:szCs w:val="28"/>
        </w:rPr>
        <w:t>确认的工程量清单作为乙方结算劳务工程款的依据。</w:t>
      </w:r>
    </w:p>
    <w:p>
      <w:pPr>
        <w:spacing w:line="360" w:lineRule="auto"/>
        <w:ind w:firstLine="630" w:firstLineChars="225"/>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8.2</w:t>
      </w:r>
      <w:r>
        <w:rPr>
          <w:rFonts w:hint="eastAsia" w:ascii="Times New Roman" w:hAnsi="Times New Roman" w:eastAsia="仿宋" w:cs="Times New Roman"/>
          <w:sz w:val="28"/>
          <w:szCs w:val="28"/>
        </w:rPr>
        <w:t>本工程结算以乙方实际完成工作量为依据，乙方不得多报工程量，如一经发现，甲方有权以乙方多报工程量价款的两倍向乙方主张违约金，违约金从应付乙方工程款中直接扣除。</w:t>
      </w:r>
    </w:p>
    <w:p>
      <w:pPr>
        <w:spacing w:line="360" w:lineRule="auto"/>
        <w:ind w:firstLine="630" w:firstLineChars="225"/>
        <w:rPr>
          <w:rFonts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8.3</w:t>
      </w:r>
      <w:r>
        <w:rPr>
          <w:rFonts w:hint="eastAsia" w:ascii="Times New Roman" w:hAnsi="Times New Roman" w:eastAsia="仿宋" w:cs="Times New Roman"/>
          <w:sz w:val="28"/>
          <w:szCs w:val="28"/>
        </w:rPr>
        <w:t>乙方施工时实际工程量的变动不降低或影响合同条件的效力，也不能免除乙方按规定标准进行施工和修复缺陷的责任。</w:t>
      </w:r>
    </w:p>
    <w:p>
      <w:pPr>
        <w:spacing w:line="360" w:lineRule="auto"/>
        <w:ind w:firstLine="630" w:firstLineChars="225"/>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8.4</w:t>
      </w:r>
      <w:r>
        <w:rPr>
          <w:rFonts w:hint="eastAsia" w:ascii="Times New Roman" w:hAnsi="Times New Roman" w:eastAsia="仿宋" w:cs="Times New Roman"/>
          <w:sz w:val="28"/>
          <w:szCs w:val="28"/>
        </w:rPr>
        <w:t>甲方向乙方支付本工程劳务工程款的条件须满足：（1）甲、乙双方已按本合同约定完成劳务工程量和工程价款的结算； 且（2）甲方已收到工程业主单位（发包方）支付的全部工程结算款（质保金除外）。</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第十九条 保险</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9</w:t>
      </w:r>
      <w:r>
        <w:rPr>
          <w:rFonts w:hint="eastAsia" w:ascii="Times New Roman" w:hAnsi="Times New Roman" w:eastAsia="仿宋" w:cs="Times New Roman"/>
          <w:sz w:val="28"/>
          <w:szCs w:val="28"/>
        </w:rPr>
        <w:t>.1运至施工场地用于劳务施工的材料和待安装设备，由乙方负责保管并自行办理保险，支付保险费用。</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9</w:t>
      </w:r>
      <w:r>
        <w:rPr>
          <w:rFonts w:hint="eastAsia" w:ascii="Times New Roman" w:hAnsi="Times New Roman" w:eastAsia="仿宋" w:cs="Times New Roman"/>
          <w:sz w:val="28"/>
          <w:szCs w:val="28"/>
        </w:rPr>
        <w:t>.2乙方必须为从事危险作业的施工人员办理意外伤害保险，并为施工场地内自有人员生命财产和施工机械设备办理保险，支付保险费用。</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r>
        <w:rPr>
          <w:rFonts w:ascii="Times New Roman" w:hAnsi="Times New Roman" w:eastAsia="仿宋" w:cs="Times New Roman"/>
          <w:sz w:val="28"/>
          <w:szCs w:val="28"/>
        </w:rPr>
        <w:t>9</w:t>
      </w:r>
      <w:r>
        <w:rPr>
          <w:rFonts w:hint="eastAsia" w:ascii="Times New Roman" w:hAnsi="Times New Roman" w:eastAsia="仿宋" w:cs="Times New Roman"/>
          <w:sz w:val="28"/>
          <w:szCs w:val="28"/>
        </w:rPr>
        <w:t>.3保险事故发生时，乙方和甲方有责任采取必要的措施，防止或减少损失。</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第二十条 材料、设备供应</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.1甲方负责提供以下材料：</w:t>
      </w:r>
    </w:p>
    <w:p>
      <w:pPr>
        <w:spacing w:line="360" w:lineRule="auto"/>
        <w:ind w:left="420" w:leftChars="2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永久性材料：</w:t>
      </w:r>
      <w:r>
        <w:rPr>
          <w:rFonts w:hint="eastAsia" w:ascii="Times New Roman" w:hAnsi="Times New Roman" w:eastAsia="仿宋" w:cs="Times New Roman"/>
          <w:sz w:val="28"/>
          <w:szCs w:val="28"/>
          <w:u w:val="single"/>
        </w:rPr>
        <w:t>_________________</w:t>
      </w:r>
      <w:r>
        <w:rPr>
          <w:rFonts w:hint="eastAsia" w:ascii="Times New Roman" w:hAnsi="Times New Roman" w:eastAsia="仿宋" w:cs="Times New Roman"/>
          <w:sz w:val="28"/>
          <w:szCs w:val="28"/>
        </w:rPr>
        <w:t>；</w:t>
      </w:r>
    </w:p>
    <w:p>
      <w:pPr>
        <w:spacing w:line="360" w:lineRule="auto"/>
        <w:ind w:left="420" w:leftChars="2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周转材料：</w:t>
      </w:r>
      <w:r>
        <w:rPr>
          <w:rFonts w:hint="eastAsia" w:ascii="Times New Roman" w:hAnsi="Times New Roman" w:eastAsia="仿宋" w:cs="Times New Roman"/>
          <w:sz w:val="28"/>
          <w:szCs w:val="28"/>
          <w:u w:val="single"/>
        </w:rPr>
        <w:t>___________________</w:t>
      </w:r>
      <w:r>
        <w:rPr>
          <w:rFonts w:hint="eastAsia" w:ascii="Times New Roman" w:hAnsi="Times New Roman" w:eastAsia="仿宋" w:cs="Times New Roman"/>
          <w:sz w:val="28"/>
          <w:szCs w:val="28"/>
        </w:rPr>
        <w:t>；</w:t>
      </w:r>
    </w:p>
    <w:p>
      <w:pPr>
        <w:spacing w:line="360" w:lineRule="auto"/>
        <w:ind w:left="420" w:leftChars="2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垂直运输机械：</w:t>
      </w:r>
      <w:r>
        <w:rPr>
          <w:rFonts w:hint="eastAsia" w:ascii="Times New Roman" w:hAnsi="Times New Roman" w:eastAsia="仿宋" w:cs="Times New Roman"/>
          <w:sz w:val="28"/>
          <w:szCs w:val="28"/>
          <w:u w:val="single"/>
        </w:rPr>
        <w:t>_______________</w:t>
      </w:r>
      <w:r>
        <w:rPr>
          <w:rFonts w:hint="eastAsia" w:ascii="Times New Roman" w:hAnsi="Times New Roman" w:eastAsia="仿宋" w:cs="Times New Roman"/>
          <w:sz w:val="28"/>
          <w:szCs w:val="28"/>
        </w:rPr>
        <w:t>。</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.2除甲方提供上述材料、设备外，工程劳务作业所需的其他辅材、小型机具、用品等全部由乙方提供。</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3乙方应在接到图纸后七天内，向甲方提交材料、设备、构配件配备计划，经甲方确认后，乙方应按配备计划要求的质量、品种、规格、型号、数量和配备时间等组织货源并及时到位。乙方自行组织的材料、设备、机具用具等必须经过甲方进行检验并书面确认后方可入场使用，在使用过程中，甲方有权要求停止使用和更换乙方自行组织的不合格品。</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.4乙方应妥善保管、合理使用甲方供应的材料、设备。因保管不善发生丢失、损坏，乙方应赔偿，并承担因此造成的工期延误等发生的一切经济损失。</w:t>
      </w:r>
    </w:p>
    <w:p>
      <w:pPr>
        <w:spacing w:line="360" w:lineRule="auto"/>
        <w:ind w:firstLine="560" w:firstLineChars="200"/>
        <w:rPr>
          <w:rFonts w:hint="eastAsia" w:ascii="Times New Roman" w:hAnsi="Times New Roman" w:eastAsia="仿宋" w:cs="Times New Roman"/>
          <w:sz w:val="28"/>
          <w:szCs w:val="28"/>
        </w:rPr>
      </w:pPr>
      <w:r>
        <w:rPr>
          <w:rFonts w:ascii="Times New Roman" w:hAnsi="Times New Roman" w:eastAsia="仿宋" w:cs="Times New Roman"/>
          <w:sz w:val="28"/>
          <w:szCs w:val="28"/>
        </w:rPr>
        <w:t>20</w:t>
      </w:r>
      <w:r>
        <w:rPr>
          <w:rFonts w:hint="eastAsia" w:ascii="Times New Roman" w:hAnsi="Times New Roman" w:eastAsia="仿宋" w:cs="Times New Roman"/>
          <w:sz w:val="28"/>
          <w:szCs w:val="28"/>
        </w:rPr>
        <w:t>.5乙方对所提出材料计划负责（不因甲方签字而免除乙方责任），若因计划超量而造成的相关损失及费用由乙方承担。</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w:t>
      </w:r>
      <w:r>
        <w:rPr>
          <w:rFonts w:hint="eastAsia" w:ascii="Times New Roman" w:hAnsi="Times New Roman" w:eastAsia="仿宋" w:cs="Times New Roman"/>
          <w:b/>
          <w:sz w:val="28"/>
          <w:szCs w:val="28"/>
          <w:lang w:eastAsia="zh-CN"/>
        </w:rPr>
        <w:t>一</w:t>
      </w:r>
      <w:r>
        <w:rPr>
          <w:rFonts w:hint="eastAsia" w:ascii="Times New Roman" w:hAnsi="Times New Roman" w:eastAsia="仿宋" w:cs="Times New Roman"/>
          <w:b/>
          <w:sz w:val="28"/>
          <w:szCs w:val="28"/>
        </w:rPr>
        <w:t>条 施工变更</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1</w:t>
      </w:r>
      <w:r>
        <w:rPr>
          <w:rFonts w:hint="eastAsia" w:ascii="Times New Roman" w:hAnsi="Times New Roman" w:eastAsia="仿宋" w:cs="Times New Roman"/>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1</w:t>
      </w:r>
      <w:r>
        <w:rPr>
          <w:rFonts w:hint="eastAsia" w:ascii="Times New Roman" w:hAnsi="Times New Roman" w:eastAsia="仿宋" w:cs="Times New Roman"/>
          <w:sz w:val="28"/>
          <w:szCs w:val="28"/>
        </w:rPr>
        <w:t>.2工程正式开工，经图纸会审、设计技术交底后的施工图和设计变更作为乙方施工和办理结算的依据；构造柱二次深化设计，在规范设置数量内的构造柱不另行计费（含在基础包干单价内）。</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1</w:t>
      </w:r>
      <w:r>
        <w:rPr>
          <w:rFonts w:hint="eastAsia" w:ascii="Times New Roman" w:hAnsi="Times New Roman" w:eastAsia="仿宋" w:cs="Times New Roman"/>
          <w:sz w:val="28"/>
          <w:szCs w:val="28"/>
        </w:rPr>
        <w:t>.3施工中乙方不得对原工程设计进行变更。因乙方擅自变更设计发生的费用和由此导致甲方的直接损失，由乙方承担，延误的工期不予顺延。因乙方自身原因导致的工程变更，乙方无权要求追加劳务报酬。现场签证原则：乙方在工作发生3天内办理签证手续，所有签证必须经施工员、预算员、技术负责人、生产负责人、项目经理共同签字核准后有效，延期视为自动放弃权利，不给予签证。</w:t>
      </w:r>
    </w:p>
    <w:p>
      <w:pPr>
        <w:spacing w:line="360" w:lineRule="auto"/>
        <w:ind w:firstLine="630" w:firstLineChars="224"/>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第二十二条 不可抗力</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2</w:t>
      </w:r>
      <w:r>
        <w:rPr>
          <w:rFonts w:hint="eastAsia" w:ascii="Times New Roman" w:hAnsi="Times New Roman" w:eastAsia="仿宋" w:cs="Times New Roman"/>
          <w:sz w:val="28"/>
          <w:szCs w:val="28"/>
        </w:rPr>
        <w:t>.1不可抗力是指不能预见、不可避免、不能克服的客观情况。</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2</w:t>
      </w:r>
      <w:r>
        <w:rPr>
          <w:rFonts w:hint="eastAsia" w:ascii="Times New Roman" w:hAnsi="Times New Roman" w:eastAsia="仿宋" w:cs="Times New Roman"/>
          <w:sz w:val="28"/>
          <w:szCs w:val="28"/>
        </w:rPr>
        <w:t>.2不可抗力事件发生后，乙方应立即通知甲方，并积极采取措施避免损失扩大。</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2</w:t>
      </w:r>
      <w:r>
        <w:rPr>
          <w:rFonts w:hint="eastAsia" w:ascii="Times New Roman" w:hAnsi="Times New Roman" w:eastAsia="仿宋" w:cs="Times New Roman"/>
          <w:sz w:val="28"/>
          <w:szCs w:val="28"/>
        </w:rPr>
        <w:t>.3因不可抗力事件导致的费用和延误的时间由双方自行承担。</w:t>
      </w:r>
    </w:p>
    <w:p>
      <w:pPr>
        <w:spacing w:line="360" w:lineRule="auto"/>
        <w:ind w:firstLine="630" w:firstLineChars="224"/>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第二十三条 违约责任</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3.1</w:t>
      </w:r>
      <w:r>
        <w:rPr>
          <w:rFonts w:hint="eastAsia" w:ascii="Times New Roman" w:hAnsi="Times New Roman" w:eastAsia="仿宋" w:cs="Times New Roman"/>
          <w:sz w:val="28"/>
          <w:szCs w:val="28"/>
        </w:rPr>
        <w:t xml:space="preserve">如乙方未能按甲方施工计划完成本合同约定劳务分包工程的，每迟延一天，应当向甲方支付 </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rPr>
        <w:t>元迟延完工违约金，若因此还给甲方造成经济损失的，乙方还应当向甲方承担损失赔偿责任，甲方有权直接从应付给乙方工程款项中或者乙方的履约保证金中直接扣除。</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3.2</w:t>
      </w:r>
      <w:r>
        <w:rPr>
          <w:rFonts w:hint="eastAsia" w:ascii="Times New Roman" w:hAnsi="Times New Roman" w:eastAsia="仿宋" w:cs="Times New Roman"/>
          <w:sz w:val="28"/>
          <w:szCs w:val="28"/>
        </w:rPr>
        <w:t>除本合同前述约定中列明的各违约责任以外，违约方还应向守约方支付违约金</w:t>
      </w:r>
      <w:r>
        <w:rPr>
          <w:rFonts w:hint="eastAsia" w:ascii="Times New Roman" w:hAnsi="Times New Roman" w:eastAsia="仿宋" w:cs="Times New Roman"/>
          <w:sz w:val="28"/>
          <w:szCs w:val="28"/>
          <w:u w:val="single"/>
        </w:rPr>
        <w:t xml:space="preserve"> </w:t>
      </w:r>
      <w:r>
        <w:rPr>
          <w:rFonts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u w:val="single"/>
        </w:rPr>
        <w:t xml:space="preserve"> </w:t>
      </w:r>
      <w:r>
        <w:rPr>
          <w:rFonts w:hint="eastAsia" w:ascii="Times New Roman" w:hAnsi="Times New Roman" w:eastAsia="仿宋" w:cs="Times New Roman"/>
          <w:sz w:val="28"/>
          <w:szCs w:val="28"/>
        </w:rPr>
        <w:t>元。</w:t>
      </w:r>
    </w:p>
    <w:p>
      <w:pPr>
        <w:spacing w:line="360" w:lineRule="auto"/>
        <w:ind w:firstLine="630" w:firstLineChars="224"/>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第二十四条 争议的解决方式</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360" w:lineRule="auto"/>
        <w:ind w:firstLine="562" w:firstLineChars="200"/>
        <w:outlineLvl w:val="0"/>
        <w:rPr>
          <w:rFonts w:hint="eastAsia" w:ascii="Times New Roman" w:hAnsi="Times New Roman" w:eastAsia="仿宋" w:cs="Times New Roman"/>
          <w:b/>
          <w:sz w:val="28"/>
          <w:szCs w:val="28"/>
        </w:rPr>
      </w:pPr>
      <w:r>
        <w:rPr>
          <w:rFonts w:hint="eastAsia" w:ascii="Times New Roman" w:hAnsi="Times New Roman" w:eastAsia="仿宋" w:cs="Times New Roman"/>
          <w:b/>
          <w:sz w:val="28"/>
          <w:szCs w:val="28"/>
        </w:rPr>
        <w:t>第二十五条 其他事宜</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5</w:t>
      </w:r>
      <w:r>
        <w:rPr>
          <w:rFonts w:hint="eastAsia" w:ascii="Times New Roman" w:hAnsi="Times New Roman" w:eastAsia="仿宋" w:cs="Times New Roman"/>
          <w:sz w:val="28"/>
          <w:szCs w:val="28"/>
        </w:rPr>
        <w:t>.1乙方全权委托________（身份证号：        ）代表乙方办理、审定工程结算、领取工程款、发放其工人工资等工程相关的事务工作；委托________（身份证号：        ）代表乙方处理现场事务如库房领料、签收工作函告、签认会议决议等除办理、审定工程总结算、领取工程款、发放其工人工资以外的工程事务。</w:t>
      </w: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5</w:t>
      </w:r>
      <w:r>
        <w:rPr>
          <w:rFonts w:hint="eastAsia" w:ascii="Times New Roman" w:hAnsi="Times New Roman" w:eastAsia="仿宋" w:cs="Times New Roman"/>
          <w:sz w:val="28"/>
          <w:szCs w:val="28"/>
        </w:rPr>
        <w:t>.2本工程项下，甲方使用的银行账户信息及开票信息如下：</w:t>
      </w:r>
    </w:p>
    <w:p>
      <w:pPr>
        <w:spacing w:line="360" w:lineRule="auto"/>
        <w:ind w:firstLine="627" w:firstLineChars="224"/>
        <w:rPr>
          <w:rFonts w:hint="eastAsia" w:ascii="Times New Roman" w:hAnsi="Times New Roman" w:eastAsia="仿宋" w:cs="Times New Roman"/>
          <w:sz w:val="28"/>
          <w:szCs w:val="28"/>
        </w:rPr>
      </w:pPr>
    </w:p>
    <w:p>
      <w:pPr>
        <w:spacing w:line="360" w:lineRule="auto"/>
        <w:ind w:firstLine="627" w:firstLineChars="224"/>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r>
        <w:rPr>
          <w:rFonts w:ascii="Times New Roman" w:hAnsi="Times New Roman" w:eastAsia="仿宋" w:cs="Times New Roman"/>
          <w:sz w:val="28"/>
          <w:szCs w:val="28"/>
        </w:rPr>
        <w:t>5</w:t>
      </w:r>
      <w:r>
        <w:rPr>
          <w:rFonts w:hint="eastAsia" w:ascii="Times New Roman" w:hAnsi="Times New Roman" w:eastAsia="仿宋" w:cs="Times New Roman"/>
          <w:sz w:val="28"/>
          <w:szCs w:val="28"/>
        </w:rPr>
        <w:t>.3本工程项下，乙方使用的银行账户信息及开票信息如下：</w:t>
      </w:r>
    </w:p>
    <w:p>
      <w:pPr>
        <w:spacing w:line="360" w:lineRule="auto"/>
        <w:ind w:firstLine="627" w:firstLineChars="224"/>
        <w:rPr>
          <w:rFonts w:ascii="Times New Roman" w:hAnsi="Times New Roman" w:eastAsia="仿宋" w:cs="Times New Roman"/>
          <w:sz w:val="28"/>
          <w:szCs w:val="28"/>
        </w:rPr>
      </w:pPr>
    </w:p>
    <w:p>
      <w:pPr>
        <w:adjustRightInd w:val="0"/>
        <w:snapToGrid w:val="0"/>
        <w:spacing w:line="360" w:lineRule="auto"/>
        <w:ind w:firstLine="632" w:firstLineChars="225"/>
        <w:jc w:val="left"/>
        <w:rPr>
          <w:rFonts w:ascii="Times New Roman" w:hAnsi="Times New Roman" w:eastAsia="仿宋" w:cs="Times New Roman"/>
          <w:b/>
          <w:bCs/>
          <w:kern w:val="0"/>
          <w:sz w:val="28"/>
          <w:szCs w:val="28"/>
        </w:rPr>
      </w:pPr>
      <w:r>
        <w:rPr>
          <w:rFonts w:hint="eastAsia" w:ascii="Times New Roman" w:hAnsi="Times New Roman" w:eastAsia="仿宋" w:cs="Times New Roman"/>
          <w:b/>
          <w:sz w:val="28"/>
          <w:szCs w:val="28"/>
        </w:rPr>
        <w:t xml:space="preserve">第二十六条 </w:t>
      </w:r>
      <w:r>
        <w:rPr>
          <w:rFonts w:hint="eastAsia" w:ascii="Times New Roman" w:hAnsi="Times New Roman" w:eastAsia="仿宋" w:cs="Times New Roman"/>
          <w:b/>
          <w:bCs/>
          <w:kern w:val="0"/>
          <w:sz w:val="28"/>
          <w:szCs w:val="28"/>
        </w:rPr>
        <w:t>送达与通知</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甲、乙双方就履行本合同过程中涉及各类通知、协议等文件以及就合同发生纠纷时相关文件和法律文书送达时的联系人、联系电话、送达地址及法律后果作如下约定：</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6.1</w:t>
      </w:r>
      <w:r>
        <w:rPr>
          <w:rFonts w:hint="eastAsia" w:ascii="Times New Roman" w:hAnsi="Times New Roman" w:eastAsia="仿宋" w:cs="Times New Roman"/>
          <w:kern w:val="0"/>
          <w:sz w:val="28"/>
          <w:szCs w:val="28"/>
        </w:rPr>
        <w:t>甲、乙双方确认</w:t>
      </w:r>
      <w:r>
        <w:rPr>
          <w:rFonts w:hint="eastAsia" w:ascii="Times New Roman" w:hAnsi="Times New Roman" w:eastAsia="仿宋" w:cs="Times New Roman"/>
          <w:b w:val="0"/>
          <w:bCs w:val="0"/>
          <w:kern w:val="0"/>
          <w:sz w:val="28"/>
          <w:szCs w:val="28"/>
        </w:rPr>
        <w:t>合同首部</w:t>
      </w:r>
      <w:r>
        <w:rPr>
          <w:rFonts w:hint="eastAsia" w:ascii="Times New Roman" w:hAnsi="Times New Roman" w:eastAsia="仿宋" w:cs="Times New Roman"/>
          <w:kern w:val="0"/>
          <w:sz w:val="28"/>
          <w:szCs w:val="28"/>
        </w:rPr>
        <w:t>列明的联系人、联系电话、联系地址为有效的送达方式。</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6.2</w:t>
      </w:r>
      <w:r>
        <w:rPr>
          <w:rFonts w:hint="eastAsia" w:ascii="Times New Roman" w:hAnsi="Times New Roman" w:eastAsia="仿宋" w:cs="Times New Roman"/>
          <w:kern w:val="0"/>
          <w:sz w:val="28"/>
          <w:szCs w:val="28"/>
        </w:rPr>
        <w:t>甲、乙双方确认的上述联系人、联系电话、送达地址适用范围包括但不限于双方非诉时各类通知、协议等文件以及就合同发生诉讼（或仲裁）纠纷时人民法院或仲裁机构进行的相关文件和法律文书的送达。</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6.3</w:t>
      </w:r>
      <w:r>
        <w:rPr>
          <w:rFonts w:hint="eastAsia" w:ascii="Times New Roman" w:hAnsi="Times New Roman" w:eastAsia="仿宋" w:cs="Times New Roman"/>
          <w:kern w:val="0"/>
          <w:sz w:val="28"/>
          <w:szCs w:val="28"/>
        </w:rPr>
        <w:t>一方当事人按上述约定地址向对方送达的，视为对方签收；对方当事人拒收的，不影响送达的效力。</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6.4</w:t>
      </w:r>
      <w:r>
        <w:rPr>
          <w:rFonts w:hint="eastAsia" w:ascii="Times New Roman" w:hAnsi="Times New Roman" w:eastAsia="仿宋" w:cs="Times New Roman"/>
          <w:kern w:val="0"/>
          <w:sz w:val="28"/>
          <w:szCs w:val="28"/>
        </w:rPr>
        <w:t>人民法院或仲裁机构依据双方上述联系人、联系电话、送达地址进行送达时可直接邮寄送达，即使当事人未能收到法院或仲裁机构邮寄送达的文书，也应当视为送达。</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6.5</w:t>
      </w:r>
      <w:r>
        <w:rPr>
          <w:rFonts w:hint="eastAsia" w:ascii="Times New Roman" w:hAnsi="Times New Roman" w:eastAsia="仿宋" w:cs="Times New Roman"/>
          <w:kern w:val="0"/>
          <w:sz w:val="28"/>
          <w:szCs w:val="28"/>
        </w:rPr>
        <w:t>一方当事人的联系人、联系电话、送达地址需要变更时应当履行通知义务，通过邮政EMS特快专递的方式按上述联系人、联系电话、送达地址向对方进行书面通知。</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6.6</w:t>
      </w:r>
      <w:r>
        <w:rPr>
          <w:rFonts w:hint="eastAsia" w:ascii="Times New Roman" w:hAnsi="Times New Roman" w:eastAsia="仿宋" w:cs="Times New Roman"/>
          <w:kern w:val="0"/>
          <w:sz w:val="28"/>
          <w:szCs w:val="28"/>
        </w:rPr>
        <w:t>甲、乙双方所确认的联系人、联系电话、送达地址仍视为有效。履行联系人、联系电话、送达地址变更通知义务的，以变更后的联系人、联系电话、送达地址为有效联系人、联系电话、送达地址。</w:t>
      </w:r>
    </w:p>
    <w:p>
      <w:pPr>
        <w:spacing w:line="360" w:lineRule="auto"/>
        <w:ind w:firstLine="560" w:firstLineChars="200"/>
        <w:outlineLvl w:val="0"/>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6.7</w:t>
      </w:r>
      <w:r>
        <w:rPr>
          <w:rFonts w:hint="eastAsia" w:ascii="Times New Roman" w:hAnsi="Times New Roman" w:eastAsia="仿宋" w:cs="Times New Roman"/>
          <w:kern w:val="0"/>
          <w:sz w:val="28"/>
          <w:szCs w:val="28"/>
        </w:rPr>
        <w:t>因一方当事人提供或者确认的联系人、联系电话、送达地址不准确、联系人、联系电话、送达地址变更后未及时依程序告知对方、当事人或指定的联系人拒绝签收等原因，导致法律文书未能被当事人实际接收的，邮寄送达的，以文书退回之日视为送达之日；直接送达的，送达人当场在送达回执上记明情况之日视为送达之日。</w:t>
      </w:r>
    </w:p>
    <w:p>
      <w:pPr>
        <w:spacing w:line="360" w:lineRule="auto"/>
        <w:ind w:firstLine="562" w:firstLineChars="200"/>
        <w:outlineLvl w:val="0"/>
        <w:rPr>
          <w:rFonts w:ascii="Times New Roman" w:hAnsi="Times New Roman" w:eastAsia="仿宋" w:cs="Times New Roman"/>
          <w:b/>
          <w:sz w:val="28"/>
          <w:szCs w:val="28"/>
        </w:rPr>
      </w:pPr>
      <w:r>
        <w:rPr>
          <w:rFonts w:hint="eastAsia" w:ascii="Times New Roman" w:hAnsi="Times New Roman" w:eastAsia="仿宋" w:cs="Times New Roman"/>
          <w:b/>
          <w:sz w:val="28"/>
          <w:szCs w:val="28"/>
        </w:rPr>
        <w:t xml:space="preserve">第二十七条 </w:t>
      </w:r>
      <w:r>
        <w:rPr>
          <w:rFonts w:hint="eastAsia" w:ascii="Times New Roman" w:hAnsi="Times New Roman" w:eastAsia="仿宋" w:cs="Times New Roman"/>
          <w:bCs/>
          <w:sz w:val="28"/>
          <w:szCs w:val="28"/>
        </w:rPr>
        <w:t>本合同未尽事宜，由双方协商另行签订书面补充协议。</w:t>
      </w:r>
    </w:p>
    <w:p>
      <w:pPr>
        <w:spacing w:line="360" w:lineRule="auto"/>
        <w:ind w:firstLine="562" w:firstLineChars="200"/>
        <w:outlineLvl w:val="0"/>
        <w:rPr>
          <w:rFonts w:hint="eastAsia" w:ascii="Times New Roman" w:hAnsi="Times New Roman" w:eastAsia="仿宋" w:cs="Times New Roman"/>
          <w:bCs/>
          <w:sz w:val="28"/>
          <w:szCs w:val="28"/>
        </w:rPr>
      </w:pPr>
      <w:r>
        <w:rPr>
          <w:rFonts w:hint="eastAsia" w:ascii="Times New Roman" w:hAnsi="Times New Roman" w:eastAsia="仿宋" w:cs="Times New Roman"/>
          <w:b/>
          <w:sz w:val="28"/>
          <w:szCs w:val="28"/>
        </w:rPr>
        <w:t xml:space="preserve">第二十八条 </w:t>
      </w:r>
      <w:r>
        <w:rPr>
          <w:rFonts w:hint="eastAsia" w:ascii="Times New Roman" w:hAnsi="Times New Roman" w:eastAsia="仿宋" w:cs="Times New Roman"/>
          <w:bCs/>
          <w:sz w:val="28"/>
          <w:szCs w:val="28"/>
        </w:rPr>
        <w:t>本合同一式</w:t>
      </w:r>
      <w:r>
        <w:rPr>
          <w:rFonts w:hint="eastAsia" w:ascii="Times New Roman" w:hAnsi="Times New Roman" w:eastAsia="仿宋" w:cs="Times New Roman"/>
          <w:bCs/>
          <w:sz w:val="28"/>
          <w:szCs w:val="28"/>
          <w:u w:val="single"/>
          <w:lang w:val="en-US" w:eastAsia="zh-CN"/>
        </w:rPr>
        <w:t xml:space="preserve">   </w:t>
      </w:r>
      <w:r>
        <w:rPr>
          <w:rFonts w:hint="eastAsia" w:ascii="Times New Roman" w:hAnsi="Times New Roman" w:eastAsia="仿宋" w:cs="Times New Roman"/>
          <w:bCs/>
          <w:sz w:val="28"/>
          <w:szCs w:val="28"/>
        </w:rPr>
        <w:t>份，甲方</w:t>
      </w:r>
      <w:r>
        <w:rPr>
          <w:rFonts w:hint="eastAsia" w:ascii="Times New Roman" w:hAnsi="Times New Roman" w:eastAsia="仿宋" w:cs="Times New Roman"/>
          <w:bCs/>
          <w:sz w:val="28"/>
          <w:szCs w:val="28"/>
          <w:u w:val="single"/>
          <w:lang w:val="en-US" w:eastAsia="zh-CN"/>
        </w:rPr>
        <w:t xml:space="preserve">    </w:t>
      </w:r>
      <w:r>
        <w:rPr>
          <w:rFonts w:hint="eastAsia" w:ascii="Times New Roman" w:hAnsi="Times New Roman" w:eastAsia="仿宋" w:cs="Times New Roman"/>
          <w:bCs/>
          <w:sz w:val="28"/>
          <w:szCs w:val="28"/>
        </w:rPr>
        <w:t>份乙方</w:t>
      </w:r>
      <w:r>
        <w:rPr>
          <w:rFonts w:hint="eastAsia" w:ascii="Times New Roman" w:hAnsi="Times New Roman" w:eastAsia="仿宋" w:cs="Times New Roman"/>
          <w:bCs/>
          <w:sz w:val="28"/>
          <w:szCs w:val="28"/>
          <w:u w:val="single"/>
          <w:lang w:val="en-US" w:eastAsia="zh-CN"/>
        </w:rPr>
        <w:t xml:space="preserve">   </w:t>
      </w:r>
      <w:r>
        <w:rPr>
          <w:rFonts w:hint="eastAsia" w:ascii="Times New Roman" w:hAnsi="Times New Roman" w:eastAsia="仿宋" w:cs="Times New Roman"/>
          <w:bCs/>
          <w:sz w:val="28"/>
          <w:szCs w:val="28"/>
        </w:rPr>
        <w:t>份，每份均具有同等法律效力，经双方签字盖章后生效。</w:t>
      </w:r>
    </w:p>
    <w:p>
      <w:pPr>
        <w:keepNext w:val="0"/>
        <w:keepLines w:val="0"/>
        <w:pageBreakBefore w:val="0"/>
        <w:widowControl w:val="0"/>
        <w:kinsoku/>
        <w:wordWrap/>
        <w:overflowPunct/>
        <w:topLinePunct w:val="0"/>
        <w:autoSpaceDE/>
        <w:autoSpaceDN/>
        <w:bidi w:val="0"/>
        <w:adjustRightInd/>
        <w:snapToGrid/>
        <w:spacing w:line="360" w:lineRule="auto"/>
        <w:ind w:left="420" w:leftChars="200" w:right="0" w:rightChars="0" w:firstLine="0" w:firstLineChars="0"/>
        <w:jc w:val="both"/>
        <w:textAlignment w:val="auto"/>
        <w:outlineLvl w:val="9"/>
        <w:rPr>
          <w:rFonts w:hint="eastAsia" w:ascii="Times New Roman" w:hAnsi="Times New Roman" w:eastAsia="仿宋_GB2312" w:cs="Times New Roman"/>
          <w:bCs/>
          <w:i/>
          <w:color w:val="auto"/>
          <w:sz w:val="28"/>
          <w:szCs w:val="28"/>
          <w:u w:val="single"/>
          <w:lang w:eastAsia="zh-CN"/>
        </w:rPr>
      </w:pPr>
      <w:r>
        <w:rPr>
          <w:rFonts w:hint="eastAsia" w:ascii="Times New Roman" w:hAnsi="Times New Roman" w:eastAsia="仿宋" w:cs="Times New Roman"/>
          <w:bCs/>
          <w:sz w:val="28"/>
          <w:szCs w:val="28"/>
          <w:lang w:eastAsia="zh-CN"/>
        </w:rPr>
        <w:t>合同</w:t>
      </w:r>
      <w:r>
        <w:rPr>
          <w:rFonts w:hint="eastAsia" w:ascii="Times New Roman" w:hAnsi="Times New Roman" w:eastAsia="仿宋" w:cs="Times New Roman"/>
          <w:bCs/>
          <w:sz w:val="28"/>
          <w:szCs w:val="28"/>
        </w:rPr>
        <w:t>附件：</w:t>
      </w:r>
      <w:r>
        <w:rPr>
          <w:rFonts w:hint="eastAsia" w:ascii="Times New Roman" w:hAnsi="Times New Roman" w:eastAsia="仿宋" w:cs="Times New Roman"/>
          <w:bCs/>
          <w:color w:val="auto"/>
          <w:sz w:val="28"/>
          <w:szCs w:val="28"/>
          <w:lang w:val="en-US" w:eastAsia="zh-CN"/>
        </w:rPr>
        <w:t>1.</w:t>
      </w:r>
      <w:r>
        <w:rPr>
          <w:rFonts w:hint="eastAsia" w:ascii="Times New Roman" w:hAnsi="Times New Roman" w:eastAsia="仿宋" w:cs="Times New Roman"/>
          <w:bCs/>
          <w:color w:val="auto"/>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lang w:val="en-US" w:eastAsia="zh-CN"/>
        </w:rPr>
        <w:t>2.安全生产协议</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sz w:val="28"/>
          <w:szCs w:val="28"/>
          <w:lang w:val="en-US" w:eastAsia="zh-CN"/>
        </w:rPr>
      </w:pPr>
    </w:p>
    <w:p>
      <w:pPr>
        <w:spacing w:line="360" w:lineRule="auto"/>
        <w:ind w:firstLine="560" w:firstLineChars="200"/>
        <w:outlineLvl w:val="0"/>
        <w:rPr>
          <w:rFonts w:hint="eastAsia" w:ascii="Times New Roman" w:hAnsi="Times New Roman" w:eastAsia="仿宋" w:cs="Times New Roman"/>
          <w:sz w:val="28"/>
          <w:szCs w:val="28"/>
        </w:rPr>
      </w:pPr>
      <w:r>
        <w:rPr>
          <w:rFonts w:hint="eastAsia" w:ascii="Times New Roman" w:hAnsi="Times New Roman" w:eastAsia="仿宋" w:cs="Times New Roman"/>
          <w:bCs/>
          <w:sz w:val="28"/>
          <w:szCs w:val="28"/>
        </w:rPr>
        <w:t>（</w:t>
      </w:r>
      <w:r>
        <w:rPr>
          <w:rFonts w:hint="eastAsia" w:ascii="Times New Roman" w:hAnsi="Times New Roman" w:eastAsia="仿宋" w:cs="Times New Roman"/>
          <w:sz w:val="28"/>
          <w:szCs w:val="28"/>
        </w:rPr>
        <w:t>以下无正文）</w:t>
      </w:r>
    </w:p>
    <w:p>
      <w:pPr>
        <w:spacing w:line="360" w:lineRule="auto"/>
        <w:ind w:firstLine="560" w:firstLineChars="200"/>
        <w:rPr>
          <w:rFonts w:hint="eastAsia" w:ascii="Times New Roman" w:hAnsi="Times New Roman" w:eastAsia="仿宋" w:cs="Times New Roman"/>
          <w:sz w:val="28"/>
          <w:szCs w:val="28"/>
        </w:rPr>
      </w:pP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甲方：</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法定代表人/授权代理人：</w:t>
      </w:r>
    </w:p>
    <w:p>
      <w:pPr>
        <w:spacing w:line="360" w:lineRule="auto"/>
        <w:ind w:firstLine="560" w:firstLineChars="200"/>
        <w:rPr>
          <w:rFonts w:hint="eastAsia" w:ascii="Times New Roman" w:hAnsi="Times New Roman" w:eastAsia="仿宋" w:cs="Times New Roman"/>
          <w:sz w:val="28"/>
          <w:szCs w:val="28"/>
        </w:rPr>
      </w:pP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乙方：</w:t>
      </w:r>
    </w:p>
    <w:p>
      <w:pPr>
        <w:spacing w:line="360" w:lineRule="auto"/>
        <w:ind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法定代表人/授权代理人：</w:t>
      </w:r>
    </w:p>
    <w:p>
      <w:pPr>
        <w:spacing w:line="360" w:lineRule="auto"/>
        <w:ind w:left="4410" w:leftChars="21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签订日期：</w:t>
      </w:r>
    </w:p>
    <w:p>
      <w:pPr>
        <w:spacing w:line="360" w:lineRule="auto"/>
        <w:ind w:left="4410" w:leftChars="2100" w:firstLine="560" w:firstLineChars="20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签订地点</w:t>
      </w:r>
    </w:p>
    <w:p>
      <w:pPr>
        <w:rPr>
          <w:rFonts w:hint="eastAsia"/>
        </w:rPr>
        <w:sectPr>
          <w:headerReference r:id="rId3" w:type="default"/>
          <w:footerReference r:id="rId4" w:type="default"/>
          <w:pgSz w:w="11906" w:h="16838"/>
          <w:pgMar w:top="1440" w:right="1106" w:bottom="1440" w:left="1260" w:header="851" w:footer="992" w:gutter="0"/>
          <w:pgNumType w:start="1"/>
          <w:cols w:space="720" w:num="1"/>
          <w:docGrid w:type="lines" w:linePitch="312" w:charSpace="0"/>
        </w:sectPr>
      </w:pPr>
      <w:r>
        <w:rPr>
          <w:rFonts w:hint="eastAsia" w:ascii="Times New Roman" w:hAnsi="Times New Roman" w:eastAsia="仿宋" w:cs="Times New Roman"/>
          <w:sz w:val="28"/>
          <w:szCs w:val="28"/>
        </w:rPr>
        <w:br w:type="page"/>
      </w: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劳务分包合同附件1. 合同清单</w:t>
      </w:r>
    </w:p>
    <w:tbl>
      <w:tblPr>
        <w:tblStyle w:val="12"/>
        <w:tblW w:w="14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5"/>
        <w:gridCol w:w="2713"/>
        <w:gridCol w:w="2158"/>
        <w:gridCol w:w="1319"/>
        <w:gridCol w:w="967"/>
        <w:gridCol w:w="967"/>
        <w:gridCol w:w="983"/>
        <w:gridCol w:w="783"/>
        <w:gridCol w:w="1686"/>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0132"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469"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657" w:type="dxa"/>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top"/>
          </w:tcPr>
          <w:p>
            <w:pPr>
              <w:jc w:val="left"/>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4"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trPr>
        <w:tc>
          <w:tcPr>
            <w:tcW w:w="102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36"/>
                <w:lang w:val="en-US" w:eastAsia="zh-CN" w:bidi="ar"/>
              </w:rPr>
              <w:t>、税率按国家法律法规及政策执行。</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36"/>
                <w:lang w:val="en-US" w:eastAsia="zh-CN" w:bidi="ar"/>
              </w:rPr>
              <w:t>、（按需要补充说明。）</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spacing w:line="360" w:lineRule="auto"/>
        <w:rPr>
          <w:rFonts w:hint="eastAsia"/>
          <w:sz w:val="28"/>
          <w:szCs w:val="28"/>
        </w:rPr>
        <w:sectPr>
          <w:headerReference r:id="rId5" w:type="default"/>
          <w:footerReference r:id="rId6" w:type="default"/>
          <w:pgSz w:w="16838" w:h="11906" w:orient="landscape"/>
          <w:pgMar w:top="1135" w:right="1440" w:bottom="1135"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劳务分包合同附件2. 安全生产协议</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rPr>
        <w:t>重庆对外建设（集团）有限公司</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u w:val="single"/>
        </w:rPr>
        <w:t>xxxx</w:t>
      </w:r>
      <w:r>
        <w:rPr>
          <w:rFonts w:hint="eastAsia" w:ascii="Times New Roman" w:hAnsi="Times New Roman" w:eastAsia="黑体" w:cs="Times New Roman"/>
          <w:color w:val="auto"/>
          <w:sz w:val="44"/>
          <w:szCs w:val="44"/>
        </w:rPr>
        <w:t>工程项目安全生产协议</w:t>
      </w:r>
    </w:p>
    <w:p>
      <w:pPr>
        <w:spacing w:line="360" w:lineRule="auto"/>
        <w:rPr>
          <w:rFonts w:hint="eastAsia" w:ascii="Times New Roman" w:hAnsi="Times New Roman" w:eastAsia="仿宋" w:cs="Times New Roman"/>
          <w:bCs/>
          <w:color w:val="auto"/>
          <w:sz w:val="28"/>
          <w:szCs w:val="28"/>
        </w:rPr>
      </w:pPr>
    </w:p>
    <w:p>
      <w:pPr>
        <w:spacing w:line="360" w:lineRule="auto"/>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rPr>
        <w:t>甲方：</w:t>
      </w:r>
      <w:r>
        <w:rPr>
          <w:rFonts w:hint="eastAsia" w:ascii="Times New Roman" w:hAnsi="Times New Roman" w:eastAsia="仿宋" w:cs="Times New Roman"/>
          <w:bCs/>
          <w:color w:val="auto"/>
          <w:sz w:val="28"/>
          <w:szCs w:val="28"/>
          <w:u w:val="single"/>
        </w:rPr>
        <w:t xml:space="preserve">  重庆对外建设（集团）有限公司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rPr>
      </w:pP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为贯彻“安全第一，预防为主”方针，明确双方的安全生产责任，确保施工安全，经双方协商一致签订本协议。</w:t>
      </w:r>
    </w:p>
    <w:p>
      <w:pPr>
        <w:pStyle w:val="11"/>
        <w:spacing w:before="0" w:beforeAutospacing="0" w:after="0" w:afterAutospacing="0" w:line="360" w:lineRule="auto"/>
        <w:rPr>
          <w:rFonts w:hint="eastAsia" w:ascii="Times New Roman" w:hAnsi="Times New Roman" w:eastAsia="仿宋" w:cs="Times New Roman"/>
          <w:color w:val="auto"/>
          <w:sz w:val="28"/>
          <w:szCs w:val="28"/>
        </w:rPr>
      </w:pP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一、工程概况：</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2、工程地址：</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3、工程规模：</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1"/>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5、工程工期：</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6、管理模式：</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（自营/劳务分包/专业分包）。</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二、协议期限：</w:t>
      </w:r>
    </w:p>
    <w:p>
      <w:pPr>
        <w:pStyle w:val="11"/>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u w:val="single"/>
        </w:rPr>
        <w:t>___</w:t>
      </w:r>
      <w:r>
        <w:rPr>
          <w:rFonts w:hint="eastAsia" w:ascii="Times New Roman" w:hAnsi="Times New Roman" w:eastAsia="仿宋" w:cs="Times New Roman"/>
          <w:color w:val="auto"/>
          <w:sz w:val="28"/>
          <w:szCs w:val="28"/>
        </w:rPr>
        <w:t>。</w:t>
      </w:r>
    </w:p>
    <w:p>
      <w:pPr>
        <w:spacing w:line="360" w:lineRule="auto"/>
        <w:ind w:firstLine="480"/>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3.</w:t>
      </w:r>
      <w:r>
        <w:rPr>
          <w:rFonts w:hint="eastAsia" w:ascii="Times New Roman" w:hAnsi="Times New Roman" w:eastAsia="仿宋" w:cs="Times New Roman"/>
          <w:b/>
          <w:bCs/>
          <w:color w:val="000000"/>
          <w:sz w:val="28"/>
          <w:szCs w:val="28"/>
        </w:rPr>
        <w:t>双方责任</w:t>
      </w:r>
    </w:p>
    <w:p>
      <w:pPr>
        <w:pStyle w:val="11"/>
        <w:spacing w:before="0" w:beforeAutospacing="0" w:after="0" w:afterAutospacing="0" w:line="360" w:lineRule="auto"/>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3.1.</w:t>
      </w:r>
      <w:r>
        <w:rPr>
          <w:rFonts w:hint="eastAsia" w:ascii="Times New Roman" w:hAnsi="Times New Roman" w:eastAsia="仿宋" w:cs="Times New Roman"/>
          <w:b/>
          <w:bCs/>
          <w:color w:val="000000"/>
          <w:sz w:val="28"/>
          <w:szCs w:val="28"/>
        </w:rPr>
        <w:t>甲方安全责任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w:t>
      </w:r>
      <w:r>
        <w:rPr>
          <w:rFonts w:hint="eastAsia" w:ascii="Times New Roman" w:hAnsi="Times New Roman" w:eastAsia="仿宋" w:cs="Times New Roman"/>
          <w:color w:val="000000"/>
          <w:sz w:val="28"/>
          <w:szCs w:val="28"/>
        </w:rPr>
        <w:t>1</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甲方对乙方进行施工安全技术交底和安全培训教育，并应有书面记录或资料。</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3.1.2.</w:t>
      </w:r>
      <w:r>
        <w:rPr>
          <w:rFonts w:hint="eastAsia" w:ascii="Times New Roman" w:hAnsi="Times New Roman" w:eastAsia="仿宋" w:cs="Times New Roman"/>
          <w:color w:val="000000"/>
          <w:sz w:val="28"/>
          <w:szCs w:val="28"/>
        </w:rPr>
        <w:t>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w:t>
      </w:r>
      <w:r>
        <w:rPr>
          <w:rFonts w:hint="eastAsia" w:ascii="Times New Roman" w:hAnsi="Times New Roman" w:eastAsia="仿宋" w:cs="Times New Roman"/>
          <w:color w:val="000000"/>
          <w:sz w:val="28"/>
          <w:szCs w:val="28"/>
        </w:rPr>
        <w:t>3</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w:t>
      </w:r>
      <w:r>
        <w:rPr>
          <w:rFonts w:hint="eastAsia" w:ascii="Times New Roman" w:hAnsi="Times New Roman" w:eastAsia="仿宋" w:cs="Times New Roman"/>
          <w:color w:val="000000"/>
          <w:sz w:val="28"/>
          <w:szCs w:val="28"/>
        </w:rPr>
        <w:t>4</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甲方不得要求乙方违反安全管理规定进行施工，因甲方原因导致的事故由甲方承担责任。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3.1.5.</w:t>
      </w:r>
      <w:r>
        <w:rPr>
          <w:rFonts w:hint="eastAsia" w:ascii="Times New Roman" w:hAnsi="Times New Roman" w:eastAsia="仿宋" w:cs="Times New Roman"/>
          <w:color w:val="000000"/>
          <w:sz w:val="28"/>
          <w:szCs w:val="28"/>
        </w:rPr>
        <w:t>甲方应统一购买项目作业人员意外伤害保险。</w:t>
      </w:r>
    </w:p>
    <w:p>
      <w:pPr>
        <w:pStyle w:val="11"/>
        <w:spacing w:before="0" w:beforeAutospacing="0" w:after="0" w:afterAutospacing="0" w:line="360" w:lineRule="auto"/>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3.2.</w:t>
      </w:r>
      <w:r>
        <w:rPr>
          <w:rFonts w:hint="eastAsia" w:ascii="Times New Roman" w:hAnsi="Times New Roman" w:eastAsia="仿宋" w:cs="Times New Roman"/>
          <w:b/>
          <w:bCs/>
          <w:color w:val="000000"/>
          <w:sz w:val="28"/>
          <w:szCs w:val="28"/>
        </w:rPr>
        <w:t>乙方安全责任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3.2.1.</w:t>
      </w:r>
      <w:r>
        <w:rPr>
          <w:rFonts w:hint="eastAsia" w:ascii="Times New Roman" w:hAnsi="Times New Roman" w:eastAsia="仿宋" w:cs="Times New Roman"/>
          <w:color w:val="000000"/>
          <w:sz w:val="28"/>
          <w:szCs w:val="28"/>
        </w:rPr>
        <w:t>乙方所提供的分包工程要求的相关资质证明材料应真实、合法、有效。</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2</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乙方必须贯彻执行国家有关安全生产的法律法规和甲方公司安全生产、文明施工标准要求，并严格按施工组织设计和安全技术措施施工。</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3</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4</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施工期间，乙方应遵照《重庆对外建设（集团）有限公司 关于印发&lt;安全管理机构设置及专职安全人员配备办法&gt;的通知》设有专职安全管理人员。</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5</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6</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7</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8</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9</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变更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10</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乙方施工过程中需使用电、水源，应事先与甲方取得联系，不得私拉乱接。中断作业或遇故障应立即切断有关开关。</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11</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乙方施工过程中应做到工完、料尽、场地清，确保安全文明施工。</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12</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13</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14</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3.2.</w:t>
      </w:r>
      <w:r>
        <w:rPr>
          <w:rFonts w:hint="eastAsia" w:ascii="Times New Roman" w:hAnsi="Times New Roman" w:eastAsia="仿宋" w:cs="Times New Roman"/>
          <w:color w:val="000000"/>
          <w:sz w:val="28"/>
          <w:szCs w:val="28"/>
        </w:rPr>
        <w:t>15</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360" w:lineRule="auto"/>
        <w:ind w:firstLine="562" w:firstLineChars="200"/>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4.</w:t>
      </w:r>
      <w:r>
        <w:rPr>
          <w:rFonts w:hint="eastAsia" w:ascii="Times New Roman" w:hAnsi="Times New Roman" w:eastAsia="仿宋" w:cs="Times New Roman"/>
          <w:b/>
          <w:bCs/>
          <w:color w:val="000000"/>
          <w:sz w:val="28"/>
          <w:szCs w:val="28"/>
        </w:rPr>
        <w:t>施工安全保证金</w:t>
      </w:r>
    </w:p>
    <w:p>
      <w:pPr>
        <w:pStyle w:val="11"/>
        <w:spacing w:before="0" w:beforeAutospacing="0" w:after="0" w:afterAutospacing="0" w:line="360" w:lineRule="auto"/>
        <w:jc w:val="both"/>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4.1.</w:t>
      </w:r>
      <w:r>
        <w:rPr>
          <w:rFonts w:hint="eastAsia" w:ascii="Times New Roman" w:hAnsi="Times New Roman" w:eastAsia="仿宋" w:cs="Times New Roman"/>
          <w:color w:val="000000"/>
          <w:sz w:val="28"/>
          <w:szCs w:val="28"/>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（1）发生人身死亡事故或设备重大事故，扣除全部安全保证金；</w:t>
      </w:r>
    </w:p>
    <w:p>
      <w:pPr>
        <w:spacing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（2）发生人身重伤事故，扣除50%安全保证金；</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（3）乙方人员发生违章行为的经济处罚，按处罚规定从安全保证金内扣</w:t>
      </w:r>
      <w:r>
        <w:rPr>
          <w:rFonts w:hint="eastAsia" w:ascii="Times New Roman" w:hAnsi="Times New Roman" w:eastAsia="仿宋" w:cs="Times New Roman"/>
          <w:kern w:val="2"/>
          <w:sz w:val="28"/>
          <w:szCs w:val="28"/>
        </w:rPr>
        <w:t xml:space="preserve">除；处罚规定按现行外建集团等相关制度、文件执行，包括但不限于《重庆对外建设（集团）有限公司 </w:t>
      </w:r>
      <w:r>
        <w:rPr>
          <w:rFonts w:hint="eastAsia" w:ascii="Times New Roman" w:hAnsi="Times New Roman" w:eastAsia="仿宋_GB2312" w:cs="Times New Roman"/>
          <w:color w:val="000000"/>
          <w:sz w:val="28"/>
          <w:szCs w:val="28"/>
        </w:rPr>
        <w:t>安全</w:t>
      </w:r>
      <w:r>
        <w:rPr>
          <w:rFonts w:hint="eastAsia" w:ascii="Times New Roman" w:hAnsi="Times New Roman" w:eastAsia="仿宋_GB2312" w:cs="Times New Roman"/>
          <w:color w:val="000000"/>
          <w:sz w:val="28"/>
          <w:szCs w:val="28"/>
          <w:lang w:eastAsia="zh-CN"/>
        </w:rPr>
        <w:t>目标</w:t>
      </w:r>
      <w:r>
        <w:rPr>
          <w:rFonts w:hint="eastAsia" w:ascii="Times New Roman" w:hAnsi="Times New Roman" w:eastAsia="仿宋_GB2312" w:cs="Times New Roman"/>
          <w:color w:val="000000"/>
          <w:sz w:val="28"/>
          <w:szCs w:val="28"/>
        </w:rPr>
        <w:t>考核奖惩办法</w:t>
      </w:r>
      <w:r>
        <w:rPr>
          <w:rFonts w:hint="eastAsia" w:ascii="Times New Roman" w:hAnsi="Times New Roman" w:eastAsia="仿宋" w:cs="Times New Roman"/>
          <w:kern w:val="2"/>
          <w:sz w:val="28"/>
          <w:szCs w:val="28"/>
        </w:rPr>
        <w:t>》、《重庆对外建设（集团）有限公司 安全处罚实施细则》（详见本协议附件）、</w:t>
      </w:r>
      <w:r>
        <w:rPr>
          <w:rFonts w:hint="eastAsia" w:ascii="Times New Roman" w:hAnsi="Times New Roman" w:eastAsia="仿宋" w:cs="Times New Roman"/>
          <w:sz w:val="28"/>
          <w:szCs w:val="28"/>
          <w:u w:val="single"/>
        </w:rPr>
        <w:t>《</w:t>
      </w:r>
      <w:r>
        <w:rPr>
          <w:rFonts w:hint="eastAsia" w:ascii="Times New Roman" w:hAnsi="Times New Roman" w:eastAsia="仿宋" w:cs="Times New Roman"/>
          <w:color w:val="0000FF"/>
          <w:sz w:val="28"/>
          <w:szCs w:val="28"/>
          <w:u w:val="single"/>
        </w:rPr>
        <w:t>外建第一总承包工程分公司</w:t>
      </w:r>
      <w:r>
        <w:rPr>
          <w:rFonts w:hint="eastAsia" w:ascii="Times New Roman" w:hAnsi="Times New Roman" w:eastAsia="仿宋" w:cs="Times New Roman"/>
          <w:sz w:val="28"/>
          <w:szCs w:val="28"/>
          <w:u w:val="single"/>
        </w:rPr>
        <w:t>安全处罚条款》</w:t>
      </w:r>
      <w:r>
        <w:rPr>
          <w:rFonts w:hint="eastAsia" w:ascii="Times New Roman" w:hAnsi="Times New Roman" w:eastAsia="仿宋" w:cs="Times New Roman"/>
          <w:kern w:val="2"/>
          <w:sz w:val="28"/>
          <w:szCs w:val="28"/>
        </w:rPr>
        <w:t>（本协议附件）等。</w:t>
      </w:r>
    </w:p>
    <w:p>
      <w:pPr>
        <w:pStyle w:val="11"/>
        <w:spacing w:before="0" w:beforeAutospacing="0" w:after="0" w:afterAutospacing="0" w:line="360" w:lineRule="auto"/>
        <w:rPr>
          <w:rFonts w:hint="eastAsia"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5.</w:t>
      </w:r>
      <w:r>
        <w:rPr>
          <w:rFonts w:hint="eastAsia" w:ascii="Times New Roman" w:hAnsi="Times New Roman" w:eastAsia="仿宋" w:cs="Times New Roman"/>
          <w:b/>
          <w:bCs/>
          <w:color w:val="000000"/>
          <w:sz w:val="28"/>
          <w:szCs w:val="28"/>
        </w:rPr>
        <w:t>违约责任</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5.1.</w:t>
      </w:r>
      <w:r>
        <w:rPr>
          <w:rFonts w:hint="eastAsia" w:ascii="Times New Roman" w:hAnsi="Times New Roman" w:eastAsia="仿宋" w:cs="Times New Roman"/>
          <w:color w:val="000000"/>
          <w:sz w:val="28"/>
          <w:szCs w:val="28"/>
        </w:rPr>
        <w:t>由于甲方或乙方责任造成对方或第三方的人身伤害、设备损坏等财产损失，由责任方承担相应责任，并赔偿对方或第三方因此造成的全部损失。</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5.2.</w:t>
      </w:r>
      <w:r>
        <w:rPr>
          <w:rFonts w:hint="eastAsia" w:ascii="Times New Roman" w:hAnsi="Times New Roman" w:eastAsia="仿宋" w:cs="Times New Roman"/>
          <w:color w:val="000000"/>
          <w:sz w:val="28"/>
          <w:szCs w:val="28"/>
        </w:rPr>
        <w:t>合同履行中，发现乙方提供的有关资质材料无效，甲方有权解除分包合同，并由乙方承担由此造成的一切损失。</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5.3.</w:t>
      </w:r>
      <w:r>
        <w:rPr>
          <w:rFonts w:hint="eastAsia" w:ascii="Times New Roman" w:hAnsi="Times New Roman" w:eastAsia="仿宋" w:cs="Times New Roman"/>
          <w:color w:val="000000"/>
          <w:sz w:val="28"/>
          <w:szCs w:val="28"/>
        </w:rPr>
        <w:t>发现乙方现场作业人员有违章行为的，比照甲方有关安全生产奖惩规定对甲方职工相类似的违章行为应扣款数额，承担相应的违约金。</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5.4.</w:t>
      </w:r>
      <w:r>
        <w:rPr>
          <w:rFonts w:hint="eastAsia" w:ascii="Times New Roman" w:hAnsi="Times New Roman" w:eastAsia="仿宋" w:cs="Times New Roman"/>
          <w:color w:val="000000"/>
          <w:sz w:val="28"/>
          <w:szCs w:val="28"/>
        </w:rPr>
        <w:t>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5.5.</w:t>
      </w:r>
      <w:r>
        <w:rPr>
          <w:rFonts w:hint="eastAsia" w:ascii="Times New Roman" w:hAnsi="Times New Roman" w:eastAsia="仿宋" w:cs="Times New Roman"/>
          <w:color w:val="000000"/>
          <w:sz w:val="28"/>
          <w:szCs w:val="28"/>
        </w:rPr>
        <w:t>乙方使用甲方提供的设施设备、工器具等造成损坏的，应照价赔偿。</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5.6.</w:t>
      </w:r>
      <w:r>
        <w:rPr>
          <w:rFonts w:hint="eastAsia" w:ascii="Times New Roman" w:hAnsi="Times New Roman" w:eastAsia="仿宋" w:cs="Times New Roman"/>
          <w:color w:val="000000"/>
          <w:sz w:val="28"/>
          <w:szCs w:val="28"/>
        </w:rPr>
        <w:t>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360" w:lineRule="auto"/>
        <w:ind w:firstLine="562" w:firstLineChars="200"/>
        <w:rPr>
          <w:rFonts w:ascii="Times New Roman" w:hAnsi="Times New Roman" w:eastAsia="仿宋" w:cs="Times New Roman"/>
          <w:b/>
          <w:bCs/>
          <w:color w:val="000000"/>
          <w:sz w:val="28"/>
          <w:szCs w:val="28"/>
        </w:rPr>
      </w:pPr>
      <w:r>
        <w:rPr>
          <w:rFonts w:hint="eastAsia" w:ascii="Times New Roman" w:hAnsi="Times New Roman" w:eastAsia="仿宋" w:cs="Times New Roman"/>
          <w:b/>
          <w:bCs/>
          <w:color w:val="000000"/>
          <w:sz w:val="28"/>
          <w:szCs w:val="28"/>
          <w:lang w:val="en-US" w:eastAsia="zh-CN"/>
        </w:rPr>
        <w:t>6.</w:t>
      </w:r>
      <w:r>
        <w:rPr>
          <w:rFonts w:hint="eastAsia" w:ascii="Times New Roman" w:hAnsi="Times New Roman" w:eastAsia="仿宋" w:cs="Times New Roman"/>
          <w:b/>
          <w:bCs/>
          <w:color w:val="000000"/>
          <w:sz w:val="28"/>
          <w:szCs w:val="28"/>
        </w:rPr>
        <w:t>争议解决</w:t>
      </w:r>
    </w:p>
    <w:p>
      <w:pPr>
        <w:pStyle w:val="11"/>
        <w:spacing w:before="0" w:beforeAutospacing="0" w:after="0" w:afterAutospacing="0" w:line="360" w:lineRule="auto"/>
        <w:ind w:firstLine="560" w:firstLineChars="2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6.1.</w:t>
      </w:r>
      <w:r>
        <w:rPr>
          <w:rFonts w:hint="eastAsia" w:ascii="Times New Roman" w:hAnsi="Times New Roman" w:eastAsia="仿宋" w:cs="Times New Roman"/>
          <w:color w:val="000000"/>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360" w:lineRule="auto"/>
        <w:ind w:firstLine="562" w:firstLineChars="200"/>
        <w:jc w:val="left"/>
        <w:rPr>
          <w:rFonts w:hint="eastAsia" w:ascii="Times New Roman" w:hAnsi="Times New Roman" w:eastAsia="仿宋" w:cs="Times New Roman"/>
          <w:b/>
          <w:bCs/>
          <w:kern w:val="0"/>
          <w:sz w:val="28"/>
          <w:szCs w:val="28"/>
        </w:rPr>
      </w:pPr>
      <w:r>
        <w:rPr>
          <w:rFonts w:hint="eastAsia" w:ascii="Times New Roman" w:hAnsi="Times New Roman" w:eastAsia="仿宋" w:cs="Times New Roman"/>
          <w:b/>
          <w:bCs/>
          <w:kern w:val="0"/>
          <w:sz w:val="28"/>
          <w:szCs w:val="28"/>
          <w:lang w:val="en-US" w:eastAsia="zh-CN"/>
        </w:rPr>
        <w:t>7.</w:t>
      </w:r>
      <w:r>
        <w:rPr>
          <w:rFonts w:hint="eastAsia" w:ascii="Times New Roman" w:hAnsi="Times New Roman" w:eastAsia="仿宋" w:cs="Times New Roman"/>
          <w:b/>
          <w:bCs/>
          <w:kern w:val="0"/>
          <w:sz w:val="28"/>
          <w:szCs w:val="28"/>
        </w:rPr>
        <w:t>通知和送达</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lang w:val="en-US" w:eastAsia="zh-CN"/>
        </w:rPr>
        <w:t>7.1.</w:t>
      </w: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甲、乙双方就履行本合同过程中涉及各类通知、协议等文件以及就合同发生纠纷时相关文件和法律文书送达时的送达方式及法律后果作如下约定：</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（1） 甲方确认其有效的联系人为</w:t>
      </w:r>
      <w:r>
        <w:rPr>
          <w:rFonts w:hint="eastAsia"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，联系电话为</w:t>
      </w:r>
      <w:r>
        <w:rPr>
          <w:rFonts w:hint="eastAsia"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，送达地址为</w:t>
      </w:r>
      <w:r>
        <w:rPr>
          <w:rFonts w:hint="eastAsia" w:ascii="Times New Roman" w:hAnsi="Times New Roman" w:eastAsia="仿宋" w:cs="Times New Roman"/>
          <w:sz w:val="28"/>
          <w:szCs w:val="28"/>
          <w:u w:val="single"/>
        </w:rPr>
        <w:t>_____________</w:t>
      </w:r>
      <w:r>
        <w:rPr>
          <w:rFonts w:hint="eastAsia" w:ascii="Times New Roman" w:hAnsi="Times New Roman" w:eastAsia="仿宋" w:cs="Times New Roman"/>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（2） 乙方确认其有效的联系人为</w:t>
      </w:r>
      <w:r>
        <w:rPr>
          <w:rFonts w:hint="eastAsia"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，联系电话为</w:t>
      </w:r>
      <w:r>
        <w:rPr>
          <w:rFonts w:hint="eastAsia"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，送达地址为</w:t>
      </w:r>
      <w:r>
        <w:rPr>
          <w:rFonts w:hint="eastAsia" w:ascii="Times New Roman" w:hAnsi="Times New Roman" w:eastAsia="仿宋" w:cs="Times New Roman"/>
          <w:sz w:val="28"/>
          <w:szCs w:val="28"/>
          <w:u w:val="single"/>
        </w:rPr>
        <w:t>_____________</w:t>
      </w:r>
      <w:r>
        <w:rPr>
          <w:rFonts w:hint="eastAsia" w:ascii="Times New Roman" w:hAnsi="Times New Roman" w:eastAsia="仿宋" w:cs="Times New Roman"/>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（3） 双方确认的上述送达方式适用范围包括但不限于双方非诉时各类通知、协议等文件以及就合同发生诉讼（或仲裁）纠纷时人民法院或仲裁机构进行的相关文件和法律文书的送达。</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（4） 一方当事人按上述约定地址向对方送达的，视为对方签收；对方当事人拒收的，不影响送达的效力。</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（5） 一方当事人的联系人、联系电话、送达地址需要变更时应当履行通知义务，通过邮政EMS特快专递的方式按上述送达地址向对方进行书面通知。</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若未按上述方式履行送达地址变更通知义务的，双方所确认的联系人、联系电话、送达地址仍视为有效送达方式。履行变更通知义务的，以变更后的为有效送达方式。</w:t>
      </w:r>
    </w:p>
    <w:p>
      <w:pPr>
        <w:adjustRightInd w:val="0"/>
        <w:snapToGrid w:val="0"/>
        <w:spacing w:line="360" w:lineRule="auto"/>
        <w:ind w:firstLine="630" w:firstLineChars="225"/>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（6） 因一方当事人提供或者确认的送达方式不准确或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b/>
          <w:bCs/>
          <w:color w:val="000000"/>
          <w:sz w:val="28"/>
          <w:szCs w:val="28"/>
          <w:lang w:val="en-US" w:eastAsia="zh-CN"/>
        </w:rPr>
        <w:t>8.</w:t>
      </w:r>
      <w:r>
        <w:rPr>
          <w:rFonts w:hint="eastAsia" w:ascii="Times New Roman" w:hAnsi="Times New Roman" w:eastAsia="仿宋" w:cs="Times New Roman"/>
          <w:color w:val="000000"/>
          <w:sz w:val="28"/>
          <w:szCs w:val="28"/>
        </w:rPr>
        <w:t>本协议一式</w:t>
      </w:r>
      <w:r>
        <w:rPr>
          <w:rFonts w:hint="eastAsia" w:ascii="Times New Roman" w:hAnsi="Times New Roman" w:eastAsia="仿宋" w:cs="Times New Roman"/>
          <w:color w:val="000000"/>
          <w:sz w:val="28"/>
          <w:szCs w:val="28"/>
          <w:u w:val="single"/>
          <w:lang w:val="en-US" w:eastAsia="zh-CN"/>
        </w:rPr>
        <w:t xml:space="preserve">   </w:t>
      </w:r>
      <w:r>
        <w:rPr>
          <w:rFonts w:hint="eastAsia" w:ascii="Times New Roman" w:hAnsi="Times New Roman" w:eastAsia="仿宋" w:cs="Times New Roman"/>
          <w:color w:val="000000"/>
          <w:sz w:val="28"/>
          <w:szCs w:val="28"/>
        </w:rPr>
        <w:t>份，甲方执</w:t>
      </w:r>
      <w:r>
        <w:rPr>
          <w:rFonts w:hint="eastAsia" w:ascii="Times New Roman" w:hAnsi="Times New Roman" w:eastAsia="仿宋" w:cs="Times New Roman"/>
          <w:color w:val="000000"/>
          <w:sz w:val="28"/>
          <w:szCs w:val="28"/>
          <w:u w:val="single"/>
          <w:lang w:val="en-US" w:eastAsia="zh-CN"/>
        </w:rPr>
        <w:t xml:space="preserve">    </w:t>
      </w:r>
      <w:r>
        <w:rPr>
          <w:rFonts w:hint="eastAsia" w:ascii="Times New Roman" w:hAnsi="Times New Roman" w:eastAsia="仿宋" w:cs="Times New Roman"/>
          <w:color w:val="000000"/>
          <w:sz w:val="28"/>
          <w:szCs w:val="28"/>
        </w:rPr>
        <w:t>份，乙方执</w:t>
      </w:r>
      <w:r>
        <w:rPr>
          <w:rFonts w:hint="eastAsia" w:ascii="Times New Roman" w:hAnsi="Times New Roman" w:eastAsia="仿宋" w:cs="Times New Roman"/>
          <w:color w:val="000000"/>
          <w:sz w:val="28"/>
          <w:szCs w:val="28"/>
          <w:u w:val="single"/>
          <w:lang w:val="en-US" w:eastAsia="zh-CN"/>
        </w:rPr>
        <w:t xml:space="preserve">    </w:t>
      </w:r>
      <w:r>
        <w:rPr>
          <w:rFonts w:hint="eastAsia" w:ascii="Times New Roman" w:hAnsi="Times New Roman" w:eastAsia="仿宋" w:cs="Times New Roman"/>
          <w:color w:val="000000"/>
          <w:sz w:val="28"/>
          <w:szCs w:val="28"/>
        </w:rPr>
        <w:t>份，每份均有同等法律效力，经双方签字盖单后生效。合同有效期为分包合同期限。</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eastAsia="zh-CN"/>
        </w:rPr>
        <w:t>安全生产协议</w:t>
      </w:r>
      <w:r>
        <w:rPr>
          <w:rFonts w:hint="eastAsia" w:ascii="Times New Roman" w:hAnsi="Times New Roman" w:eastAsia="仿宋" w:cs="Times New Roman"/>
          <w:color w:val="000000"/>
          <w:sz w:val="28"/>
          <w:szCs w:val="28"/>
        </w:rPr>
        <w:t>附件：1</w:t>
      </w:r>
      <w:r>
        <w:rPr>
          <w:rFonts w:hint="eastAsia" w:ascii="Times New Roman" w:hAnsi="Times New Roman" w:eastAsia="仿宋" w:cs="Times New Roman"/>
          <w:color w:val="000000"/>
          <w:sz w:val="28"/>
          <w:szCs w:val="28"/>
          <w:lang w:val="en-US" w:eastAsia="zh-CN"/>
        </w:rPr>
        <w:t>.</w:t>
      </w:r>
      <w:r>
        <w:rPr>
          <w:rFonts w:hint="eastAsia" w:ascii="Times New Roman" w:hAnsi="Times New Roman" w:eastAsia="仿宋" w:cs="Times New Roman"/>
          <w:color w:val="000000"/>
          <w:sz w:val="28"/>
          <w:szCs w:val="28"/>
        </w:rPr>
        <w:t>重庆对外建设（集团）有限公司安全处罚实施细则</w:t>
      </w:r>
    </w:p>
    <w:p>
      <w:pPr>
        <w:pStyle w:val="11"/>
        <w:keepNext w:val="0"/>
        <w:keepLines w:val="0"/>
        <w:pageBreakBefore w:val="0"/>
        <w:widowControl/>
        <w:numPr>
          <w:ilvl w:val="0"/>
          <w:numId w:val="7"/>
        </w:numPr>
        <w:kinsoku/>
        <w:wordWrap/>
        <w:overflowPunct/>
        <w:topLinePunct w:val="0"/>
        <w:autoSpaceDE/>
        <w:autoSpaceDN/>
        <w:bidi w:val="0"/>
        <w:adjustRightInd/>
        <w:snapToGrid/>
        <w:spacing w:before="0" w:beforeAutospacing="0" w:after="0" w:afterAutospacing="0" w:line="360" w:lineRule="auto"/>
        <w:ind w:left="2590" w:leftChars="1100" w:right="0" w:rightChars="0" w:hanging="280" w:hangingChars="100"/>
        <w:jc w:val="left"/>
        <w:textAlignment w:val="auto"/>
        <w:outlineLvl w:val="9"/>
        <w:rPr>
          <w:rFonts w:hint="eastAsia" w:ascii="Times New Roman" w:hAnsi="Times New Roman" w:eastAsia="仿宋" w:cs="Times New Roman"/>
          <w:color w:val="000000"/>
          <w:sz w:val="28"/>
          <w:szCs w:val="28"/>
        </w:rPr>
      </w:pPr>
      <w:r>
        <w:rPr>
          <w:rFonts w:hint="eastAsia" w:ascii="仿宋" w:hAnsi="仿宋" w:eastAsia="仿宋" w:cs="仿宋"/>
          <w:color w:val="000000"/>
          <w:sz w:val="28"/>
          <w:szCs w:val="28"/>
        </w:rPr>
        <w:t>外建</w:t>
      </w:r>
      <w:r>
        <w:rPr>
          <w:rFonts w:hint="eastAsia" w:ascii="Times New Roman" w:hAnsi="Times New Roman" w:eastAsia="仿宋" w:cs="Times New Roman"/>
          <w:b w:val="0"/>
          <w:bCs/>
          <w:color w:val="auto"/>
          <w:sz w:val="28"/>
          <w:szCs w:val="28"/>
          <w:u w:val="single"/>
          <w:lang w:val="en-US" w:eastAsia="zh-CN"/>
        </w:rPr>
        <w:t>第一总承包工程</w:t>
      </w:r>
      <w:r>
        <w:rPr>
          <w:rFonts w:hint="eastAsia" w:ascii="仿宋" w:hAnsi="仿宋" w:eastAsia="仿宋" w:cs="仿宋"/>
          <w:color w:val="000000"/>
          <w:sz w:val="28"/>
          <w:szCs w:val="28"/>
          <w:lang w:val="en-US" w:eastAsia="zh-CN"/>
        </w:rPr>
        <w:t>分公司</w:t>
      </w:r>
      <w:r>
        <w:rPr>
          <w:rFonts w:hint="eastAsia" w:ascii="Times New Roman" w:hAnsi="Times New Roman" w:eastAsia="仿宋" w:cs="Times New Roman"/>
          <w:color w:val="000000"/>
          <w:sz w:val="28"/>
          <w:szCs w:val="28"/>
        </w:rPr>
        <w:t xml:space="preserve"> 安全处罚条款</w:t>
      </w:r>
    </w:p>
    <w:p>
      <w:pPr>
        <w:pStyle w:val="11"/>
        <w:spacing w:before="0" w:beforeAutospacing="0" w:after="0" w:afterAutospacing="0" w:line="360" w:lineRule="auto"/>
        <w:rPr>
          <w:rFonts w:hint="eastAsia" w:ascii="Times New Roman" w:hAnsi="Times New Roman" w:eastAsia="仿宋" w:cs="Times New Roman"/>
          <w:color w:val="000000"/>
          <w:sz w:val="28"/>
          <w:szCs w:val="28"/>
          <w:lang w:eastAsia="zh-CN"/>
        </w:rPr>
      </w:pPr>
      <w:r>
        <w:rPr>
          <w:rFonts w:hint="eastAsia" w:ascii="Times New Roman" w:hAnsi="Times New Roman" w:eastAsia="仿宋" w:cs="Times New Roman"/>
          <w:color w:val="000000"/>
          <w:sz w:val="28"/>
          <w:szCs w:val="28"/>
          <w:lang w:eastAsia="zh-CN"/>
        </w:rPr>
        <w:t>（以下为签字盖章页，无正文）</w:t>
      </w:r>
    </w:p>
    <w:p>
      <w:pPr>
        <w:pStyle w:val="11"/>
        <w:spacing w:before="0" w:beforeAutospacing="0" w:after="0" w:afterAutospacing="0" w:line="360" w:lineRule="auto"/>
        <w:rPr>
          <w:rFonts w:hint="eastAsia" w:ascii="Times New Roman" w:hAnsi="Times New Roman" w:eastAsia="仿宋" w:cs="Times New Roman"/>
          <w:color w:val="000000"/>
          <w:sz w:val="28"/>
          <w:szCs w:val="28"/>
        </w:rPr>
      </w:pP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甲方：　　　　　　　　　</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法定代表人或授权代表：</w:t>
      </w:r>
    </w:p>
    <w:p>
      <w:pPr>
        <w:pStyle w:val="11"/>
        <w:spacing w:before="0" w:beforeAutospacing="0" w:after="0" w:afterAutospacing="0" w:line="360" w:lineRule="auto"/>
        <w:rPr>
          <w:rFonts w:hint="eastAsia" w:ascii="Times New Roman" w:hAnsi="Times New Roman" w:eastAsia="仿宋" w:cs="Times New Roman"/>
          <w:color w:val="000000"/>
          <w:sz w:val="28"/>
          <w:szCs w:val="28"/>
        </w:rPr>
      </w:pP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乙方：　　　　　　　　</w:t>
      </w: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法定代表人或授权代表：</w:t>
      </w:r>
    </w:p>
    <w:p>
      <w:pPr>
        <w:pStyle w:val="11"/>
        <w:spacing w:before="0" w:beforeAutospacing="0" w:after="0" w:afterAutospacing="0" w:line="360" w:lineRule="auto"/>
        <w:ind w:firstLine="0"/>
        <w:rPr>
          <w:rFonts w:hint="eastAsia" w:ascii="Times New Roman" w:hAnsi="Times New Roman" w:eastAsia="仿宋" w:cs="Times New Roman"/>
          <w:color w:val="000000"/>
          <w:sz w:val="28"/>
          <w:szCs w:val="28"/>
        </w:rPr>
      </w:pPr>
    </w:p>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 xml:space="preserve">                                   合同签订时间：</w:t>
      </w:r>
    </w:p>
    <w:p>
      <w:pPr>
        <w:pStyle w:val="11"/>
        <w:spacing w:before="0" w:beforeAutospacing="0" w:after="0" w:afterAutospacing="0" w:line="360" w:lineRule="auto"/>
        <w:ind w:firstLine="5040" w:firstLineChars="180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rPr>
        <w:t>合同签订地点：</w:t>
      </w:r>
    </w:p>
    <w:p>
      <w:pPr>
        <w:pStyle w:val="11"/>
        <w:spacing w:before="0" w:beforeAutospacing="0" w:after="0" w:afterAutospacing="0" w:line="360" w:lineRule="auto"/>
        <w:ind w:firstLine="0" w:firstLineChars="0"/>
        <w:rPr>
          <w:rFonts w:hint="eastAsia" w:ascii="Times New Roman" w:hAnsi="Times New Roman" w:eastAsia="仿宋" w:cs="Times New Roman"/>
          <w:color w:val="000000"/>
          <w:sz w:val="28"/>
          <w:szCs w:val="28"/>
          <w:lang w:eastAsia="zh-CN"/>
        </w:rPr>
      </w:pPr>
      <w:r>
        <w:rPr>
          <w:rFonts w:hint="eastAsia" w:ascii="Times New Roman" w:hAnsi="Times New Roman" w:eastAsia="仿宋" w:cs="Times New Roman"/>
          <w:color w:val="000000"/>
          <w:sz w:val="28"/>
          <w:szCs w:val="28"/>
          <w:lang w:eastAsia="zh-CN"/>
        </w:rPr>
        <w:br w:type="page"/>
      </w:r>
    </w:p>
    <w:p>
      <w:pPr>
        <w:pStyle w:val="11"/>
        <w:spacing w:before="0" w:beforeAutospacing="0" w:after="0" w:afterAutospacing="0" w:line="360" w:lineRule="auto"/>
        <w:ind w:firstLine="0" w:firstLineChars="0"/>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eastAsia="zh-CN"/>
        </w:rPr>
        <w:t>安全生产协议</w:t>
      </w:r>
      <w:r>
        <w:rPr>
          <w:rFonts w:hint="eastAsia" w:ascii="Times New Roman" w:hAnsi="Times New Roman" w:eastAsia="仿宋" w:cs="Times New Roman"/>
          <w:color w:val="000000"/>
          <w:sz w:val="28"/>
          <w:szCs w:val="28"/>
        </w:rPr>
        <w:t>附件1.</w:t>
      </w:r>
    </w:p>
    <w:p>
      <w:pPr>
        <w:pStyle w:val="11"/>
        <w:spacing w:before="0" w:beforeAutospacing="0" w:after="0" w:afterAutospacing="0" w:line="360" w:lineRule="auto"/>
        <w:jc w:val="center"/>
        <w:rPr>
          <w:rFonts w:ascii="Times New Roman" w:hAnsi="Times New Roman" w:cs="Times New Roman"/>
        </w:rPr>
      </w:pPr>
      <w:r>
        <w:rPr>
          <w:rFonts w:hint="eastAsia" w:ascii="Times New Roman" w:hAnsi="Times New Roman" w:eastAsia="仿宋" w:cs="Times New Roman"/>
          <w:color w:val="000000"/>
          <w:sz w:val="28"/>
          <w:szCs w:val="28"/>
        </w:rPr>
        <w:t>重庆对外建设（集团）有限公司 安全处罚实施细则</w:t>
      </w:r>
    </w:p>
    <w:tbl>
      <w:tblPr>
        <w:tblStyle w:val="12"/>
        <w:tblW w:w="0" w:type="auto"/>
        <w:jc w:val="center"/>
        <w:tblLayout w:type="fixed"/>
        <w:tblCellMar>
          <w:top w:w="0" w:type="dxa"/>
          <w:left w:w="108" w:type="dxa"/>
          <w:bottom w:w="0" w:type="dxa"/>
          <w:right w:w="108" w:type="dxa"/>
        </w:tblCellMar>
      </w:tblPr>
      <w:tblGrid>
        <w:gridCol w:w="567"/>
        <w:gridCol w:w="1134"/>
        <w:gridCol w:w="3828"/>
        <w:gridCol w:w="288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noWrap w:val="0"/>
            <w:vAlign w:val="center"/>
          </w:tcPr>
          <w:p>
            <w:pPr>
              <w:widowControl/>
              <w:jc w:val="center"/>
              <w:rPr>
                <w:rFonts w:ascii="Times New Roman" w:hAnsi="Times New Roman" w:cs="Times New Roman"/>
                <w:b/>
                <w:color w:val="000000"/>
                <w:kern w:val="0"/>
                <w:sz w:val="20"/>
                <w:szCs w:val="20"/>
              </w:rPr>
            </w:pPr>
            <w:r>
              <w:rPr>
                <w:rFonts w:hint="eastAsia" w:ascii="Times New Roman" w:hAnsi="Times New Roman" w:cs="Times New Roman"/>
                <w:b/>
                <w:color w:val="000000"/>
                <w:kern w:val="0"/>
                <w:sz w:val="20"/>
                <w:szCs w:val="20"/>
              </w:rPr>
              <w:t>类别</w:t>
            </w:r>
          </w:p>
        </w:tc>
        <w:tc>
          <w:tcPr>
            <w:tcW w:w="1134" w:type="dxa"/>
            <w:tcBorders>
              <w:top w:val="single" w:color="000000" w:sz="8" w:space="0"/>
              <w:left w:val="nil"/>
              <w:bottom w:val="single" w:color="000000" w:sz="8" w:space="0"/>
              <w:right w:val="single" w:color="000000" w:sz="8" w:space="0"/>
            </w:tcBorders>
            <w:noWrap w:val="0"/>
            <w:vAlign w:val="center"/>
          </w:tcPr>
          <w:p>
            <w:pPr>
              <w:widowControl/>
              <w:jc w:val="center"/>
              <w:rPr>
                <w:rFonts w:ascii="Times New Roman" w:hAnsi="Times New Roman" w:cs="Times New Roman"/>
                <w:b/>
                <w:color w:val="000000"/>
                <w:kern w:val="0"/>
                <w:sz w:val="20"/>
                <w:szCs w:val="20"/>
              </w:rPr>
            </w:pPr>
            <w:r>
              <w:rPr>
                <w:rFonts w:hint="eastAsia" w:ascii="Times New Roman" w:hAnsi="Times New Roman" w:cs="Times New Roman"/>
                <w:b/>
                <w:color w:val="000000"/>
                <w:kern w:val="0"/>
                <w:sz w:val="20"/>
                <w:szCs w:val="20"/>
              </w:rPr>
              <w:t>内容</w:t>
            </w:r>
          </w:p>
        </w:tc>
        <w:tc>
          <w:tcPr>
            <w:tcW w:w="3828" w:type="dxa"/>
            <w:tcBorders>
              <w:top w:val="single" w:color="000000" w:sz="8" w:space="0"/>
              <w:left w:val="nil"/>
              <w:bottom w:val="single" w:color="000000" w:sz="8" w:space="0"/>
              <w:right w:val="single" w:color="000000" w:sz="8" w:space="0"/>
            </w:tcBorders>
            <w:noWrap w:val="0"/>
            <w:vAlign w:val="center"/>
          </w:tcPr>
          <w:p>
            <w:pPr>
              <w:widowControl/>
              <w:jc w:val="center"/>
              <w:rPr>
                <w:rFonts w:ascii="Times New Roman" w:hAnsi="Times New Roman" w:cs="Times New Roman"/>
                <w:b/>
                <w:color w:val="000000"/>
                <w:kern w:val="0"/>
                <w:sz w:val="20"/>
                <w:szCs w:val="20"/>
              </w:rPr>
            </w:pPr>
            <w:r>
              <w:rPr>
                <w:rFonts w:hint="eastAsia" w:ascii="Times New Roman" w:hAnsi="Times New Roman" w:cs="Times New Roman"/>
                <w:b/>
                <w:color w:val="000000"/>
                <w:kern w:val="0"/>
                <w:sz w:val="20"/>
                <w:szCs w:val="20"/>
              </w:rPr>
              <w:t>违规现象</w:t>
            </w:r>
          </w:p>
        </w:tc>
        <w:tc>
          <w:tcPr>
            <w:tcW w:w="2881" w:type="dxa"/>
            <w:tcBorders>
              <w:top w:val="single" w:color="000000" w:sz="8" w:space="0"/>
              <w:left w:val="nil"/>
              <w:bottom w:val="single" w:color="000000" w:sz="8" w:space="0"/>
              <w:right w:val="single" w:color="000000" w:sz="8" w:space="0"/>
            </w:tcBorders>
            <w:noWrap w:val="0"/>
            <w:vAlign w:val="center"/>
          </w:tcPr>
          <w:p>
            <w:pPr>
              <w:widowControl/>
              <w:jc w:val="center"/>
              <w:rPr>
                <w:rFonts w:ascii="Times New Roman" w:hAnsi="Times New Roman" w:cs="Times New Roman"/>
                <w:b/>
                <w:color w:val="000000"/>
                <w:kern w:val="0"/>
                <w:sz w:val="20"/>
                <w:szCs w:val="20"/>
              </w:rPr>
            </w:pPr>
            <w:r>
              <w:rPr>
                <w:rFonts w:hint="eastAsia" w:ascii="Times New Roman" w:hAnsi="Times New Roman" w:cs="Times New Roman"/>
                <w:b/>
                <w:color w:val="000000"/>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一般隐患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安全管理机构和人员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eastAsia="宋体" w:cs="Times New Roman"/>
                <w:sz w:val="20"/>
                <w:szCs w:val="20"/>
              </w:rPr>
              <w:t>未按规定设置安全管理机构和</w:t>
            </w:r>
            <w:r>
              <w:rPr>
                <w:rFonts w:hint="eastAsia" w:ascii="Times New Roman" w:hAnsi="Times New Roman" w:cs="Times New Roman"/>
                <w:sz w:val="20"/>
                <w:szCs w:val="20"/>
                <w:lang w:eastAsia="zh-CN"/>
              </w:rPr>
              <w:t>专职</w:t>
            </w:r>
            <w:r>
              <w:rPr>
                <w:rFonts w:hint="eastAsia" w:ascii="Times New Roman" w:hAnsi="Times New Roman" w:eastAsia="宋体" w:cs="Times New Roman"/>
                <w:sz w:val="20"/>
                <w:szCs w:val="20"/>
              </w:rPr>
              <w:t>安全管理人员，人员不满足相关资格和人数要求。</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人员不到位，差</w:t>
            </w:r>
            <w:r>
              <w:rPr>
                <w:rFonts w:hint="eastAsia" w:ascii="Times New Roman" w:hAnsi="Times New Roman" w:cs="Times New Roman"/>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特种作业人员</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特种作业人员无有效证件上岗</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安全生产责任制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未建立安全生产责任制，未进行层层分解落实，安全目标责任书签字不全，责任目标未进行考核</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责任书签订缺失，每发现</w:t>
            </w:r>
            <w:r>
              <w:rPr>
                <w:rFonts w:hint="eastAsia" w:ascii="Times New Roman" w:hAnsi="Times New Roman" w:cs="Times New Roman"/>
                <w:color w:val="000000"/>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安全教育培训和技术交底</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未进行入场人员安全教育培训和技术交底</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安全教育记录、花名册、技术交底记录缺失或不完整，每次处罚</w:t>
            </w:r>
            <w:r>
              <w:rPr>
                <w:rFonts w:hint="eastAsia" w:ascii="Times New Roman" w:hAnsi="Times New Roman" w:cs="Times New Roman"/>
                <w:color w:val="000000"/>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施工用电</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未按“</w:t>
            </w:r>
            <w:r>
              <w:rPr>
                <w:rFonts w:hint="eastAsia" w:ascii="Times New Roman" w:hAnsi="Times New Roman" w:cs="Times New Roman"/>
                <w:color w:val="000000"/>
                <w:kern w:val="0"/>
                <w:sz w:val="20"/>
                <w:szCs w:val="20"/>
                <w:lang w:val="en-US" w:eastAsia="zh-CN"/>
              </w:rPr>
              <w:t>TN-S</w:t>
            </w:r>
            <w:r>
              <w:rPr>
                <w:rFonts w:hint="eastAsia" w:ascii="Times New Roman" w:hAnsi="Times New Roman" w:cs="Times New Roman"/>
                <w:color w:val="000000"/>
                <w:kern w:val="0"/>
                <w:sz w:val="20"/>
                <w:szCs w:val="20"/>
                <w:lang w:eastAsia="zh-CN"/>
              </w:rPr>
              <w:t>”系统设置，线路铺设、漏电保护设施和外电防护不符合规范要求，接地、接零不到位，私搭乱接，电线裸插</w:t>
            </w:r>
          </w:p>
        </w:tc>
        <w:tc>
          <w:tcPr>
            <w:tcW w:w="2881"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安全防护</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临边未设置防护设施或未及时恢复，洞口、电梯井无硬防护。</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脚手架及模板支架</w:t>
            </w:r>
          </w:p>
        </w:tc>
        <w:tc>
          <w:tcPr>
            <w:tcW w:w="3828" w:type="dxa"/>
            <w:tcBorders>
              <w:top w:val="nil"/>
              <w:left w:val="nil"/>
              <w:bottom w:val="single" w:color="000000" w:sz="8" w:space="0"/>
              <w:right w:val="single" w:color="000000" w:sz="8" w:space="0"/>
            </w:tcBorders>
            <w:noWrap w:val="0"/>
            <w:vAlign w:val="center"/>
          </w:tcPr>
          <w:p>
            <w:pPr>
              <w:adjustRightInd w:val="0"/>
              <w:snapToGrid w:val="0"/>
              <w:spacing w:line="240" w:lineRule="atLeast"/>
              <w:rPr>
                <w:rFonts w:hint="eastAsia" w:ascii="Times New Roman" w:hAnsi="Times New Roman" w:cs="Times New Roman"/>
                <w:color w:val="000000"/>
                <w:kern w:val="0"/>
                <w:sz w:val="20"/>
                <w:szCs w:val="20"/>
              </w:rPr>
            </w:pPr>
            <w:r>
              <w:rPr>
                <w:rFonts w:hint="eastAsia" w:ascii="Times New Roman" w:hAnsi="Times New Roman" w:eastAsia="宋体" w:cs="Times New Roman"/>
                <w:sz w:val="20"/>
                <w:szCs w:val="20"/>
              </w:rPr>
              <w:t>脚手架和模支底部虚空、杆件缺失、无扫地杆和梁底支撑、未设纵横向水平剪刀撑</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w:t>
            </w:r>
            <w:r>
              <w:rPr>
                <w:rFonts w:hint="eastAsia" w:ascii="Times New Roman" w:hAnsi="Times New Roman" w:cs="Times New Roman"/>
                <w:color w:val="000000"/>
                <w:kern w:val="0"/>
                <w:sz w:val="20"/>
                <w:szCs w:val="20"/>
                <w:lang w:eastAsia="zh-CN"/>
              </w:rPr>
              <w:t>个架体</w:t>
            </w:r>
            <w:r>
              <w:rPr>
                <w:rFonts w:hint="eastAsia" w:ascii="Times New Roman" w:hAnsi="Times New Roman" w:cs="Times New Roman"/>
                <w:color w:val="000000"/>
                <w:kern w:val="0"/>
                <w:sz w:val="20"/>
                <w:szCs w:val="20"/>
              </w:rPr>
              <w:t>违反规定处罚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常见</w:t>
            </w:r>
            <w:r>
              <w:rPr>
                <w:rFonts w:hint="eastAsia" w:ascii="Times New Roman" w:hAnsi="Times New Roman" w:cs="Times New Roman"/>
                <w:color w:val="000000"/>
                <w:kern w:val="0"/>
                <w:sz w:val="20"/>
                <w:szCs w:val="20"/>
                <w:lang w:eastAsia="zh-CN"/>
              </w:rPr>
              <w:t>违</w:t>
            </w:r>
            <w:r>
              <w:rPr>
                <w:rFonts w:hint="eastAsia" w:ascii="Times New Roman" w:hAnsi="Times New Roman" w:cs="Times New Roman"/>
                <w:color w:val="000000"/>
                <w:kern w:val="0"/>
                <w:sz w:val="20"/>
                <w:szCs w:val="20"/>
              </w:rPr>
              <w:t>规</w:t>
            </w: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安全帽</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现场人员不戴安全帽，或戴安全帽而未按要求系下颚带。</w:t>
            </w:r>
          </w:p>
        </w:tc>
        <w:tc>
          <w:tcPr>
            <w:tcW w:w="2881"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作业人员违规，每1人处罚500元。管理人员违规，每发现1人处罚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安全带</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高处作业未系安全带、安全带未固定在有效挂点</w:t>
            </w:r>
          </w:p>
        </w:tc>
        <w:tc>
          <w:tcPr>
            <w:tcW w:w="2881"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每发现1人违规，处罚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eastAsia="宋体" w:cs="Times New Roman"/>
                <w:sz w:val="20"/>
                <w:szCs w:val="20"/>
              </w:rPr>
              <w:t>违规操作设备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eastAsia="宋体" w:cs="Times New Roman"/>
                <w:sz w:val="20"/>
                <w:szCs w:val="20"/>
              </w:rPr>
              <w:t>非施工电梯和塔吊司机违规操作升降设备，施工电梯超载，一次载超过9人（含司机）</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eastAsia="宋体" w:cs="Times New Roman"/>
                <w:sz w:val="20"/>
                <w:szCs w:val="20"/>
              </w:rPr>
              <w:t>上下桩孔</w:t>
            </w:r>
          </w:p>
        </w:tc>
        <w:tc>
          <w:tcPr>
            <w:tcW w:w="3828" w:type="dxa"/>
            <w:tcBorders>
              <w:top w:val="nil"/>
              <w:left w:val="nil"/>
              <w:bottom w:val="single" w:color="000000" w:sz="8" w:space="0"/>
              <w:right w:val="single" w:color="000000" w:sz="8" w:space="0"/>
            </w:tcBorders>
            <w:noWrap w:val="0"/>
            <w:vAlign w:val="center"/>
          </w:tcPr>
          <w:p>
            <w:pPr>
              <w:widowControl/>
              <w:tabs>
                <w:tab w:val="left" w:pos="876"/>
              </w:tabs>
              <w:jc w:val="both"/>
              <w:rPr>
                <w:rFonts w:hint="eastAsia" w:ascii="Times New Roman" w:hAnsi="Times New Roman" w:eastAsia="宋体" w:cs="Times New Roman"/>
                <w:color w:val="000000"/>
                <w:kern w:val="0"/>
                <w:sz w:val="20"/>
                <w:szCs w:val="20"/>
                <w:lang w:eastAsia="zh-CN"/>
              </w:rPr>
            </w:pPr>
            <w:r>
              <w:rPr>
                <w:rFonts w:hint="eastAsia" w:ascii="Times New Roman" w:hAnsi="Times New Roman" w:eastAsia="宋体" w:cs="Times New Roman"/>
                <w:sz w:val="20"/>
                <w:szCs w:val="20"/>
              </w:rPr>
              <w:t>使用电动葫芦上下人工挖孔桩</w:t>
            </w:r>
          </w:p>
        </w:tc>
        <w:tc>
          <w:tcPr>
            <w:tcW w:w="2881"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eastAsia="宋体" w:cs="Times New Roman"/>
                <w:sz w:val="20"/>
                <w:szCs w:val="20"/>
              </w:rPr>
              <w:t>配电箱</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违规使用水壶电箱</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sz w:val="20"/>
                <w:szCs w:val="20"/>
                <w:lang w:eastAsia="zh-CN"/>
              </w:rPr>
            </w:pPr>
            <w:r>
              <w:rPr>
                <w:rFonts w:hint="eastAsia" w:ascii="Times New Roman" w:hAnsi="Times New Roman" w:cs="Times New Roman"/>
                <w:sz w:val="20"/>
                <w:szCs w:val="20"/>
                <w:lang w:eastAsia="zh-CN"/>
              </w:rPr>
              <w:t>吊装作业</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lang w:eastAsia="zh-CN"/>
              </w:rPr>
            </w:pPr>
            <w:r>
              <w:rPr>
                <w:rFonts w:hint="eastAsia" w:ascii="Times New Roman" w:hAnsi="Times New Roman" w:cs="Times New Roman"/>
                <w:color w:val="000000"/>
                <w:kern w:val="0"/>
                <w:sz w:val="20"/>
                <w:szCs w:val="20"/>
                <w:lang w:eastAsia="zh-CN"/>
              </w:rPr>
              <w:t>未按“十不吊”原则违规吊装</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lang w:eastAsia="zh-CN"/>
              </w:rPr>
            </w:pPr>
            <w:r>
              <w:rPr>
                <w:rFonts w:hint="eastAsia" w:ascii="Times New Roman" w:hAnsi="Times New Roman" w:cs="Times New Roman"/>
                <w:color w:val="000000"/>
                <w:kern w:val="0"/>
                <w:sz w:val="20"/>
                <w:szCs w:val="20"/>
                <w:lang w:eastAsia="zh-CN"/>
              </w:rPr>
              <w:t>每发现</w:t>
            </w:r>
            <w:r>
              <w:rPr>
                <w:rFonts w:hint="eastAsia" w:ascii="Times New Roman" w:hAnsi="Times New Roman" w:cs="Times New Roman"/>
                <w:color w:val="000000"/>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重大隐患</w:t>
            </w: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危大工程</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危险性较大的分部分项工程未编制安全专项施工方案，超过一定规模的未组织专家论证</w:t>
            </w:r>
            <w:r>
              <w:rPr>
                <w:rFonts w:hint="eastAsia" w:ascii="Times New Roman" w:hAnsi="Times New Roman" w:eastAsia="宋体" w:cs="Times New Roman"/>
                <w:color w:val="000000"/>
                <w:sz w:val="20"/>
                <w:szCs w:val="20"/>
                <w:lang w:eastAsia="zh-CN"/>
              </w:rPr>
              <w:t>，未严格按照方案组织施工</w:t>
            </w:r>
          </w:p>
        </w:tc>
        <w:tc>
          <w:tcPr>
            <w:tcW w:w="2881" w:type="dxa"/>
            <w:tcBorders>
              <w:top w:val="nil"/>
              <w:left w:val="nil"/>
              <w:bottom w:val="single" w:color="000000" w:sz="8" w:space="0"/>
              <w:right w:val="single" w:color="000000" w:sz="8" w:space="0"/>
            </w:tcBorders>
            <w:noWrap w:val="0"/>
            <w:vAlign w:val="center"/>
          </w:tcPr>
          <w:p>
            <w:pPr>
              <w:widowControl/>
              <w:tabs>
                <w:tab w:val="left" w:pos="633"/>
              </w:tabs>
              <w:jc w:val="left"/>
              <w:rPr>
                <w:rFonts w:hint="eastAsia" w:ascii="Times New Roman" w:hAnsi="Times New Roman" w:eastAsia="宋体" w:cs="Times New Roman"/>
                <w:color w:val="000000"/>
                <w:kern w:val="0"/>
                <w:sz w:val="20"/>
                <w:szCs w:val="20"/>
                <w:lang w:eastAsia="zh-CN"/>
              </w:rPr>
            </w:pPr>
            <w:r>
              <w:rPr>
                <w:rFonts w:hint="eastAsia" w:ascii="Times New Roman" w:hAnsi="Times New Roman" w:eastAsia="宋体" w:cs="Times New Roman"/>
                <w:color w:val="000000"/>
                <w:kern w:val="0"/>
                <w:sz w:val="20"/>
                <w:szCs w:val="20"/>
                <w:lang w:eastAsia="zh-CN"/>
              </w:rPr>
              <w:t>立即停工整改，处罚</w:t>
            </w:r>
            <w:r>
              <w:rPr>
                <w:rFonts w:hint="eastAsia" w:ascii="Times New Roman" w:hAnsi="Times New Roman" w:eastAsia="宋体" w:cs="Times New Roman"/>
                <w:color w:val="000000"/>
                <w:kern w:val="0"/>
                <w:sz w:val="20"/>
                <w:szCs w:val="20"/>
                <w:lang w:val="en-US" w:eastAsia="zh-CN"/>
              </w:rPr>
              <w:t>5000元。</w:t>
            </w:r>
            <w:r>
              <w:rPr>
                <w:rFonts w:hint="eastAsia" w:ascii="Times New Roman" w:hAnsi="Times New Roman" w:eastAsia="宋体" w:cs="Times New Roman"/>
                <w:color w:val="000000"/>
                <w:kern w:val="0"/>
                <w:sz w:val="20"/>
                <w:szCs w:val="20"/>
              </w:rPr>
              <w:t>继续实施的</w:t>
            </w:r>
            <w:r>
              <w:rPr>
                <w:rFonts w:hint="eastAsia" w:ascii="Times New Roman" w:hAnsi="Times New Roman" w:eastAsia="宋体" w:cs="Times New Roman"/>
                <w:color w:val="000000"/>
                <w:kern w:val="0"/>
                <w:sz w:val="20"/>
                <w:szCs w:val="20"/>
                <w:lang w:eastAsia="zh-CN"/>
              </w:rPr>
              <w:t>加重</w:t>
            </w:r>
            <w:r>
              <w:rPr>
                <w:rFonts w:hint="eastAsia" w:ascii="Times New Roman" w:hAnsi="Times New Roman" w:eastAsia="宋体" w:cs="Times New Roman"/>
                <w:color w:val="000000"/>
                <w:kern w:val="0"/>
                <w:sz w:val="20"/>
                <w:szCs w:val="20"/>
              </w:rPr>
              <w:t>处罚</w:t>
            </w:r>
            <w:r>
              <w:rPr>
                <w:rFonts w:hint="eastAsia" w:ascii="Times New Roman" w:hAnsi="Times New Roman" w:eastAsia="宋体" w:cs="Times New Roman"/>
                <w:color w:val="000000"/>
                <w:kern w:val="0"/>
                <w:sz w:val="20"/>
                <w:szCs w:val="20"/>
                <w:lang w:val="en-US" w:eastAsia="zh-CN"/>
              </w:rPr>
              <w:t>10</w:t>
            </w:r>
            <w:r>
              <w:rPr>
                <w:rFonts w:hint="eastAsia" w:ascii="Times New Roman" w:hAnsi="Times New Roman" w:eastAsia="宋体" w:cs="Times New Roman"/>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高切坡、高边坡</w:t>
            </w:r>
          </w:p>
        </w:tc>
        <w:tc>
          <w:tcPr>
            <w:tcW w:w="3828" w:type="dxa"/>
            <w:tcBorders>
              <w:top w:val="nil"/>
              <w:left w:val="nil"/>
              <w:bottom w:val="single" w:color="000000" w:sz="8" w:space="0"/>
              <w:right w:val="single" w:color="000000" w:sz="8" w:space="0"/>
            </w:tcBorders>
            <w:noWrap w:val="0"/>
            <w:vAlign w:val="center"/>
          </w:tcPr>
          <w:p>
            <w:pPr>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高切坡、高边坡未采取支护措施或防风化处理</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kern w:val="0"/>
                <w:sz w:val="20"/>
                <w:szCs w:val="20"/>
              </w:rPr>
              <w:t>立即停工整改，继续施工</w:t>
            </w:r>
            <w:r>
              <w:rPr>
                <w:rFonts w:hint="eastAsia" w:ascii="Times New Roman" w:hAnsi="Times New Roman" w:eastAsia="宋体" w:cs="Times New Roman"/>
                <w:color w:val="000000"/>
                <w:kern w:val="0"/>
                <w:sz w:val="20"/>
                <w:szCs w:val="20"/>
                <w:lang w:eastAsia="zh-CN"/>
              </w:rPr>
              <w:t>造成</w:t>
            </w:r>
            <w:r>
              <w:rPr>
                <w:rFonts w:hint="eastAsia" w:ascii="Times New Roman" w:hAnsi="Times New Roman" w:eastAsia="宋体" w:cs="Times New Roman"/>
                <w:color w:val="000000"/>
                <w:kern w:val="0"/>
                <w:sz w:val="20"/>
                <w:szCs w:val="20"/>
              </w:rPr>
              <w:t>大面积垮塌和变形的处罚</w:t>
            </w:r>
            <w:r>
              <w:rPr>
                <w:rFonts w:hint="eastAsia" w:ascii="Times New Roman" w:hAnsi="Times New Roman" w:eastAsia="宋体" w:cs="Times New Roman"/>
                <w:color w:val="000000"/>
                <w:kern w:val="0"/>
                <w:sz w:val="20"/>
                <w:szCs w:val="20"/>
                <w:lang w:val="en-US" w:eastAsia="zh-CN"/>
              </w:rPr>
              <w:t>5</w:t>
            </w:r>
            <w:r>
              <w:rPr>
                <w:rFonts w:hint="eastAsia" w:ascii="Times New Roman" w:hAnsi="Times New Roman" w:eastAsia="宋体" w:cs="Times New Roman"/>
                <w:color w:val="000000"/>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受限空间作业</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人工挖孔桩、顶管</w:t>
            </w:r>
            <w:r>
              <w:rPr>
                <w:rFonts w:hint="eastAsia" w:ascii="Times New Roman" w:hAnsi="Times New Roman" w:cs="Times New Roman"/>
                <w:color w:val="000000"/>
                <w:kern w:val="0"/>
                <w:sz w:val="20"/>
                <w:szCs w:val="20"/>
                <w:lang w:eastAsia="zh-CN"/>
              </w:rPr>
              <w:t>、隧道</w:t>
            </w:r>
            <w:r>
              <w:rPr>
                <w:rFonts w:hint="eastAsia" w:ascii="Times New Roman" w:hAnsi="Times New Roman" w:cs="Times New Roman"/>
                <w:color w:val="000000"/>
                <w:kern w:val="0"/>
                <w:sz w:val="20"/>
                <w:szCs w:val="20"/>
              </w:rPr>
              <w:t>作业前未对有毒有害气体监测，无专业设施通风送气，无人员专用爬梯</w:t>
            </w:r>
          </w:p>
        </w:tc>
        <w:tc>
          <w:tcPr>
            <w:tcW w:w="2881"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每发现一处违反规定处罚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施工吊篮</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吊篮超载超员（3人及以上作业），升降设施无保险卡或失效，作业人员无独立救生绳或未系，高处进出，高空抛物</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每发现一台吊篮违反规定罚款1</w:t>
            </w:r>
            <w:r>
              <w:rPr>
                <w:rFonts w:ascii="Times New Roman" w:hAnsi="Times New Roman" w:cs="Times New Roman"/>
                <w:color w:val="000000"/>
                <w:kern w:val="0"/>
                <w:sz w:val="20"/>
                <w:szCs w:val="20"/>
              </w:rPr>
              <w:t>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禁止使用的工艺或设备</w:t>
            </w:r>
          </w:p>
        </w:tc>
        <w:tc>
          <w:tcPr>
            <w:tcW w:w="3828" w:type="dxa"/>
            <w:tcBorders>
              <w:top w:val="nil"/>
              <w:left w:val="nil"/>
              <w:bottom w:val="single" w:color="000000" w:sz="8" w:space="0"/>
              <w:right w:val="single" w:color="000000" w:sz="8"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使用明令淘汰或者禁止使用的工艺或者设备（如：使用钢管搭设卸料平台或搭设悬挑架的、“少先吊”等）</w:t>
            </w:r>
          </w:p>
        </w:tc>
        <w:tc>
          <w:tcPr>
            <w:tcW w:w="2881" w:type="dxa"/>
            <w:tcBorders>
              <w:top w:val="nil"/>
              <w:left w:val="nil"/>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每发现一处违反规定处罚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悬挑式脚手架</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cs="Times New Roman"/>
                <w:color w:val="000000"/>
                <w:kern w:val="0"/>
                <w:sz w:val="20"/>
                <w:szCs w:val="20"/>
              </w:rPr>
            </w:pPr>
            <w:r>
              <w:rPr>
                <w:rFonts w:hint="eastAsia" w:ascii="Times New Roman" w:hAnsi="Times New Roman" w:eastAsia="宋体" w:cs="Times New Roman"/>
                <w:color w:val="000000"/>
                <w:sz w:val="20"/>
                <w:szCs w:val="20"/>
              </w:rPr>
              <w:t>悬挑式脚手架悬挑梁与结构连接不牢固或锚固段长度不符合设计要求，脚手架架体立杆未支撑受力在悬挑梁上</w:t>
            </w:r>
            <w:r>
              <w:rPr>
                <w:rFonts w:hint="eastAsia" w:ascii="Times New Roman" w:hAnsi="Times New Roman" w:eastAsia="宋体" w:cs="Times New Roman"/>
                <w:color w:val="000000"/>
                <w:sz w:val="20"/>
                <w:szCs w:val="20"/>
                <w:lang w:eastAsia="zh-CN"/>
              </w:rPr>
              <w:t>，未使用钢压板板固定</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每发现一处违反规定处罚</w:t>
            </w:r>
            <w:r>
              <w:rPr>
                <w:rFonts w:ascii="Times New Roman" w:hAnsi="Times New Roman" w:cs="Times New Roman"/>
                <w:color w:val="000000"/>
                <w:kern w:val="0"/>
                <w:sz w:val="20"/>
                <w:szCs w:val="20"/>
              </w:rPr>
              <w:t>1000</w:t>
            </w:r>
            <w:r>
              <w:rPr>
                <w:rFonts w:hint="eastAsia" w:ascii="Times New Roman" w:hAnsi="Times New Roman" w:cs="Times New Roman"/>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eastAsia="宋体" w:cs="Times New Roman"/>
                <w:bCs/>
                <w:color w:val="000000"/>
                <w:sz w:val="20"/>
                <w:szCs w:val="20"/>
              </w:rPr>
              <w:t>附着式升降脚手架</w:t>
            </w:r>
          </w:p>
        </w:tc>
        <w:tc>
          <w:tcPr>
            <w:tcW w:w="3828" w:type="dxa"/>
            <w:tcBorders>
              <w:top w:val="nil"/>
              <w:left w:val="nil"/>
              <w:bottom w:val="single" w:color="000000" w:sz="8" w:space="0"/>
              <w:right w:val="single" w:color="000000" w:sz="8" w:space="0"/>
            </w:tcBorders>
            <w:noWrap w:val="0"/>
            <w:vAlign w:val="center"/>
          </w:tcPr>
          <w:p>
            <w:pPr>
              <w:rPr>
                <w:rFonts w:hint="eastAsia" w:ascii="Times New Roman" w:hAnsi="Times New Roman" w:cs="Times New Roman"/>
                <w:color w:val="000000"/>
                <w:kern w:val="0"/>
                <w:sz w:val="20"/>
                <w:szCs w:val="20"/>
              </w:rPr>
            </w:pPr>
            <w:r>
              <w:rPr>
                <w:rFonts w:hint="eastAsia" w:ascii="Times New Roman" w:hAnsi="Times New Roman" w:eastAsia="宋体" w:cs="Times New Roman"/>
                <w:bCs/>
                <w:color w:val="000000"/>
                <w:sz w:val="20"/>
                <w:szCs w:val="20"/>
              </w:rPr>
              <w:t>附着式升降脚手架无防倾、防坠、同步升降装置</w:t>
            </w:r>
            <w:r>
              <w:rPr>
                <w:rFonts w:hint="eastAsia" w:ascii="Times New Roman" w:hAnsi="Times New Roman" w:eastAsia="宋体" w:cs="Times New Roman"/>
                <w:bCs/>
                <w:color w:val="000000"/>
                <w:sz w:val="20"/>
                <w:szCs w:val="20"/>
                <w:lang w:eastAsia="zh-CN"/>
              </w:rPr>
              <w:t>，</w:t>
            </w:r>
            <w:r>
              <w:rPr>
                <w:rFonts w:hint="eastAsia" w:ascii="Times New Roman" w:hAnsi="Times New Roman" w:eastAsia="宋体" w:cs="Times New Roman"/>
                <w:color w:val="000000"/>
                <w:sz w:val="20"/>
                <w:szCs w:val="20"/>
              </w:rPr>
              <w:t>附着式升降脚手架架体严重变形</w:t>
            </w:r>
            <w:r>
              <w:rPr>
                <w:rFonts w:hint="eastAsia" w:ascii="Times New Roman" w:hAnsi="Times New Roman" w:eastAsia="宋体" w:cs="Times New Roman"/>
                <w:color w:val="000000"/>
                <w:sz w:val="20"/>
                <w:szCs w:val="20"/>
                <w:lang w:eastAsia="zh-CN"/>
              </w:rPr>
              <w:t>，</w:t>
            </w:r>
            <w:r>
              <w:rPr>
                <w:rFonts w:hint="eastAsia" w:ascii="Times New Roman" w:hAnsi="Times New Roman" w:eastAsia="宋体" w:cs="Times New Roman"/>
                <w:color w:val="000000"/>
                <w:sz w:val="20"/>
                <w:szCs w:val="20"/>
              </w:rPr>
              <w:t>无备案和安装手续</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立即停工整改，违规使用处罚</w:t>
            </w:r>
            <w:r>
              <w:rPr>
                <w:rFonts w:hint="eastAsia" w:ascii="Times New Roman" w:hAnsi="Times New Roman" w:cs="Times New Roman"/>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塔吊</w:t>
            </w:r>
          </w:p>
        </w:tc>
        <w:tc>
          <w:tcPr>
            <w:tcW w:w="3828"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基础积水，附着连接、标准节变形，螺栓松动，吊钩无保险，力矩、变幅、行走限制器及高度限位器失效</w:t>
            </w:r>
          </w:p>
        </w:tc>
        <w:tc>
          <w:tcPr>
            <w:tcW w:w="2881"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lang w:eastAsia="zh-CN"/>
              </w:rPr>
              <w:t>立即停工整改，违规使用处罚</w:t>
            </w:r>
            <w:r>
              <w:rPr>
                <w:rFonts w:hint="eastAsia" w:ascii="Times New Roman" w:hAnsi="Times New Roman" w:cs="Times New Roman"/>
                <w:color w:val="000000"/>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nil"/>
              <w:left w:val="nil"/>
              <w:bottom w:val="single" w:color="000000" w:sz="8" w:space="0"/>
              <w:right w:val="single" w:color="000000" w:sz="8"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施工升降机</w:t>
            </w:r>
          </w:p>
        </w:tc>
        <w:tc>
          <w:tcPr>
            <w:tcW w:w="3828" w:type="dxa"/>
            <w:tcBorders>
              <w:top w:val="nil"/>
              <w:left w:val="nil"/>
              <w:bottom w:val="single" w:color="000000" w:sz="8" w:space="0"/>
              <w:right w:val="single" w:color="000000" w:sz="8"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基础积水，进出防护门未关闭，限位器失效，导向轮不起作用，载重标志缺失</w:t>
            </w:r>
          </w:p>
        </w:tc>
        <w:tc>
          <w:tcPr>
            <w:tcW w:w="2881" w:type="dxa"/>
            <w:tcBorders>
              <w:top w:val="nil"/>
              <w:left w:val="nil"/>
              <w:bottom w:val="single" w:color="000000" w:sz="8" w:space="0"/>
              <w:right w:val="single" w:color="000000" w:sz="8" w:space="0"/>
            </w:tcBorders>
            <w:noWrap w:val="0"/>
            <w:vAlign w:val="center"/>
          </w:tcPr>
          <w:p>
            <w:pPr>
              <w:jc w:val="center"/>
              <w:rPr>
                <w:rFonts w:hint="eastAsia" w:ascii="Times New Roman" w:hAnsi="Times New Roman" w:eastAsia="宋体" w:cs="Times New Roman"/>
                <w:color w:val="000000"/>
                <w:kern w:val="0"/>
                <w:sz w:val="20"/>
                <w:szCs w:val="20"/>
                <w:lang w:val="en-US" w:eastAsia="zh-CN" w:bidi="ar-SA"/>
              </w:rPr>
            </w:pPr>
            <w:r>
              <w:rPr>
                <w:rFonts w:hint="eastAsia" w:ascii="Times New Roman" w:hAnsi="Times New Roman" w:cs="Times New Roman"/>
                <w:color w:val="000000"/>
                <w:kern w:val="0"/>
                <w:sz w:val="20"/>
                <w:szCs w:val="20"/>
                <w:lang w:eastAsia="zh-CN"/>
              </w:rPr>
              <w:t>立即停工整改，违规使用处罚</w:t>
            </w:r>
            <w:r>
              <w:rPr>
                <w:rFonts w:hint="eastAsia" w:ascii="Times New Roman" w:hAnsi="Times New Roman" w:cs="Times New Roman"/>
                <w:color w:val="000000"/>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施工围挡缺失、未封闭或破损未及时修复，墙面未按规定设置八牌二图、标语、宣传</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检查</w:t>
            </w:r>
            <w:r>
              <w:rPr>
                <w:rFonts w:hint="eastAsia" w:ascii="Times New Roman" w:hAnsi="Times New Roman" w:cs="Times New Roman"/>
                <w:color w:val="000000"/>
                <w:kern w:val="0"/>
                <w:sz w:val="20"/>
                <w:szCs w:val="20"/>
                <w:lang w:eastAsia="zh-CN"/>
              </w:rPr>
              <w:t>发现违规现象，</w:t>
            </w:r>
            <w:r>
              <w:rPr>
                <w:rFonts w:hint="eastAsia" w:ascii="Times New Roman" w:hAnsi="Times New Roman" w:cs="Times New Roman"/>
                <w:color w:val="000000"/>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作业面建筑垃圾清扫不及时，材料堆码混乱，场地未按要求硬化，现场脏乱</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检查</w:t>
            </w:r>
            <w:r>
              <w:rPr>
                <w:rFonts w:hint="eastAsia" w:ascii="Times New Roman" w:hAnsi="Times New Roman" w:cs="Times New Roman"/>
                <w:color w:val="000000"/>
                <w:kern w:val="0"/>
                <w:sz w:val="20"/>
                <w:szCs w:val="20"/>
                <w:lang w:eastAsia="zh-CN"/>
              </w:rPr>
              <w:t>发现违规现象，</w:t>
            </w:r>
            <w:r>
              <w:rPr>
                <w:rFonts w:hint="eastAsia" w:ascii="Times New Roman" w:hAnsi="Times New Roman" w:cs="Times New Roman"/>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现场未安装车辆冲洗设施，作业区施工、现场临时道路未采取有效措施控制扬尘</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检查</w:t>
            </w:r>
            <w:r>
              <w:rPr>
                <w:rFonts w:hint="eastAsia" w:ascii="Times New Roman" w:hAnsi="Times New Roman" w:cs="Times New Roman"/>
                <w:color w:val="000000"/>
                <w:kern w:val="0"/>
                <w:sz w:val="20"/>
                <w:szCs w:val="20"/>
                <w:lang w:eastAsia="zh-CN"/>
              </w:rPr>
              <w:t>发现违规现象，</w:t>
            </w:r>
            <w:r>
              <w:rPr>
                <w:rFonts w:hint="eastAsia" w:ascii="Times New Roman" w:hAnsi="Times New Roman" w:cs="Times New Roman"/>
                <w:color w:val="000000"/>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现场无动火手续，板房未采用</w:t>
            </w:r>
            <w:r>
              <w:rPr>
                <w:rFonts w:hint="eastAsia" w:ascii="Times New Roman" w:hAnsi="Times New Roman" w:cs="Times New Roman"/>
                <w:color w:val="000000"/>
                <w:kern w:val="0"/>
                <w:sz w:val="20"/>
                <w:szCs w:val="20"/>
                <w:lang w:val="en-US" w:eastAsia="zh-CN"/>
              </w:rPr>
              <w:t>A级材料，易燃有毒物品未按要求存放和保管，加工区、库房、宿舍用电设备不符合规定，未配备消防灭火器材</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检查</w:t>
            </w:r>
            <w:r>
              <w:rPr>
                <w:rFonts w:hint="eastAsia" w:ascii="Times New Roman" w:hAnsi="Times New Roman" w:cs="Times New Roman"/>
                <w:color w:val="000000"/>
                <w:kern w:val="0"/>
                <w:sz w:val="20"/>
                <w:szCs w:val="20"/>
                <w:lang w:eastAsia="zh-CN"/>
              </w:rPr>
              <w:t>发现违规现象，</w:t>
            </w:r>
            <w:r>
              <w:rPr>
                <w:rFonts w:hint="eastAsia" w:ascii="Times New Roman" w:hAnsi="Times New Roman" w:cs="Times New Roman"/>
                <w:color w:val="000000"/>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未按集团要求着装，未按规定佩戴安全监督袖标</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集团重点推广“智慧工地”的项目未按规定安装门禁刷卡智能设备、扬尘监控设备、远程视频监控设备、施工升降机驾驶员身份识别智能设备</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cs="Times New Roman"/>
                <w:color w:val="000000"/>
                <w:kern w:val="0"/>
                <w:sz w:val="20"/>
                <w:szCs w:val="20"/>
              </w:rPr>
            </w:pPr>
            <w:r>
              <w:rPr>
                <w:rFonts w:hint="eastAsia" w:ascii="Times New Roman" w:hAnsi="Times New Roman" w:cs="Times New Roman"/>
                <w:color w:val="000000"/>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项目负责人未按要求对现场存在的问题和隐患组织检查整改</w:t>
            </w:r>
          </w:p>
        </w:tc>
        <w:tc>
          <w:tcPr>
            <w:tcW w:w="288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20"/>
                <w:szCs w:val="20"/>
                <w:lang w:eastAsia="zh-CN"/>
              </w:rPr>
            </w:pPr>
            <w:r>
              <w:rPr>
                <w:rFonts w:hint="eastAsia" w:ascii="Times New Roman" w:hAnsi="Times New Roman" w:cs="Times New Roman"/>
                <w:color w:val="000000"/>
                <w:kern w:val="0"/>
                <w:sz w:val="20"/>
                <w:szCs w:val="20"/>
                <w:lang w:eastAsia="zh-CN"/>
              </w:rPr>
              <w:t>检查处罚金额</w:t>
            </w:r>
            <w:r>
              <w:rPr>
                <w:rFonts w:hint="eastAsia" w:ascii="Times New Roman" w:hAnsi="Times New Roman" w:cs="Times New Roman"/>
                <w:color w:val="000000"/>
                <w:kern w:val="0"/>
                <w:sz w:val="20"/>
                <w:szCs w:val="20"/>
                <w:lang w:val="en-US" w:eastAsia="zh-CN"/>
              </w:rPr>
              <w:t>5000元记1分</w:t>
            </w:r>
          </w:p>
        </w:tc>
      </w:tr>
    </w:tbl>
    <w:p>
      <w:pPr>
        <w:pStyle w:val="11"/>
        <w:spacing w:before="0" w:beforeAutospacing="0" w:after="0" w:afterAutospacing="0" w:line="360" w:lineRule="auto"/>
        <w:rPr>
          <w:rFonts w:hint="eastAsia"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eastAsia="zh-CN"/>
        </w:rPr>
        <w:br w:type="page"/>
      </w:r>
      <w:r>
        <w:rPr>
          <w:rFonts w:hint="eastAsia" w:ascii="Times New Roman" w:hAnsi="Times New Roman" w:eastAsia="仿宋" w:cs="Times New Roman"/>
          <w:color w:val="000000"/>
          <w:sz w:val="28"/>
          <w:szCs w:val="28"/>
          <w:lang w:eastAsia="zh-CN"/>
        </w:rPr>
        <w:t>安全生产协议</w:t>
      </w:r>
      <w:r>
        <w:rPr>
          <w:rFonts w:hint="eastAsia" w:ascii="Times New Roman" w:hAnsi="Times New Roman" w:eastAsia="仿宋" w:cs="Times New Roman"/>
          <w:color w:val="000000"/>
          <w:sz w:val="28"/>
          <w:szCs w:val="28"/>
        </w:rPr>
        <w:t>附件2.</w:t>
      </w:r>
    </w:p>
    <w:p>
      <w:pPr>
        <w:spacing w:line="360" w:lineRule="auto"/>
        <w:jc w:val="center"/>
        <w:rPr>
          <w:rFonts w:hint="eastAsia" w:ascii="Times New Roman" w:hAnsi="Times New Roman" w:eastAsia="仿宋" w:cs="Times New Roman"/>
          <w:b/>
          <w:sz w:val="28"/>
          <w:szCs w:val="28"/>
        </w:rPr>
      </w:pPr>
      <w:r>
        <w:rPr>
          <w:rFonts w:hint="eastAsia" w:ascii="Times New Roman" w:hAnsi="Times New Roman" w:eastAsia="仿宋" w:cs="Times New Roman"/>
          <w:b/>
          <w:bCs w:val="0"/>
          <w:color w:val="auto"/>
          <w:sz w:val="28"/>
          <w:szCs w:val="28"/>
        </w:rPr>
        <w:t>外建</w:t>
      </w:r>
      <w:r>
        <w:rPr>
          <w:rFonts w:hint="eastAsia" w:ascii="Times New Roman" w:hAnsi="Times New Roman" w:eastAsia="仿宋" w:cs="Times New Roman"/>
          <w:b/>
          <w:bCs w:val="0"/>
          <w:color w:val="auto"/>
          <w:sz w:val="28"/>
          <w:szCs w:val="28"/>
          <w:u w:val="single"/>
        </w:rPr>
        <w:t>__</w:t>
      </w:r>
      <w:r>
        <w:rPr>
          <w:rFonts w:hint="eastAsia" w:ascii="Times New Roman" w:hAnsi="Times New Roman" w:eastAsia="仿宋" w:cs="Times New Roman"/>
          <w:b/>
          <w:bCs w:val="0"/>
          <w:color w:val="auto"/>
          <w:sz w:val="28"/>
          <w:szCs w:val="28"/>
          <w:u w:val="single"/>
          <w:lang w:val="en-US" w:eastAsia="zh-CN"/>
        </w:rPr>
        <w:t>第一总承包工程</w:t>
      </w:r>
      <w:r>
        <w:rPr>
          <w:rFonts w:hint="eastAsia" w:ascii="Times New Roman" w:hAnsi="Times New Roman" w:eastAsia="仿宋" w:cs="Times New Roman"/>
          <w:b/>
          <w:bCs w:val="0"/>
          <w:color w:val="auto"/>
          <w:sz w:val="28"/>
          <w:szCs w:val="28"/>
          <w:u w:val="single"/>
        </w:rPr>
        <w:t>__</w:t>
      </w:r>
      <w:r>
        <w:rPr>
          <w:rFonts w:hint="eastAsia" w:ascii="Times New Roman" w:hAnsi="Times New Roman" w:eastAsia="仿宋" w:cs="Times New Roman"/>
          <w:b/>
          <w:bCs w:val="0"/>
          <w:color w:val="auto"/>
          <w:sz w:val="28"/>
          <w:szCs w:val="28"/>
          <w:lang w:eastAsia="zh-CN"/>
        </w:rPr>
        <w:t>分公司</w:t>
      </w:r>
      <w:r>
        <w:rPr>
          <w:rFonts w:hint="eastAsia" w:ascii="Times New Roman" w:hAnsi="Times New Roman" w:eastAsia="仿宋" w:cs="Times New Roman"/>
          <w:b/>
          <w:bCs w:val="0"/>
          <w:color w:val="auto"/>
          <w:sz w:val="28"/>
          <w:szCs w:val="28"/>
        </w:rPr>
        <w:t xml:space="preserve"> </w:t>
      </w:r>
      <w:r>
        <w:rPr>
          <w:rFonts w:hint="eastAsia" w:ascii="Times New Roman" w:hAnsi="Times New Roman" w:eastAsia="仿宋" w:cs="Times New Roman"/>
          <w:b/>
          <w:sz w:val="28"/>
          <w:szCs w:val="28"/>
        </w:rPr>
        <w:t>安全处罚条款</w:t>
      </w:r>
    </w:p>
    <w:tbl>
      <w:tblPr>
        <w:tblStyle w:val="12"/>
        <w:tblpPr w:leftFromText="180" w:rightFromText="180" w:vertAnchor="text" w:horzAnchor="page" w:tblpX="909" w:tblpY="24"/>
        <w:tblOverlap w:val="never"/>
        <w:tblW w:w="103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195"/>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序号</w:t>
            </w:r>
          </w:p>
        </w:tc>
        <w:tc>
          <w:tcPr>
            <w:tcW w:w="8195" w:type="dxa"/>
            <w:noWrap w:val="0"/>
            <w:vAlign w:val="top"/>
          </w:tcPr>
          <w:p>
            <w:pPr>
              <w:spacing w:line="360" w:lineRule="auto"/>
              <w:ind w:firstLine="3220" w:firstLineChars="115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处  罚  内  容</w:t>
            </w:r>
          </w:p>
        </w:tc>
        <w:tc>
          <w:tcPr>
            <w:tcW w:w="1702" w:type="dxa"/>
            <w:noWrap w:val="0"/>
            <w:vAlign w:val="top"/>
          </w:tcPr>
          <w:p>
            <w:pPr>
              <w:spacing w:line="360" w:lineRule="auto"/>
              <w:ind w:firstLine="140" w:firstLineChars="50"/>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入场劳务管理人员、及员工必须按照操作规桯、安全管理的规章制度执行。不服从管理规定。</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安全、质量项目部口头戓书面提岀整改的，不按时整改回复。</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3</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进入施工现场未戴安全帽。</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4</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高处作业未背安全带 、未挂安全带。</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接到(隐患整改单) 后, 顾意拖延执行。</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6</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新进场工人未经三级教育就安排上岗作业的(以教育记录卡为依据)。</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7</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项目通知安全、质量学习不及时到会场（有代签字的）。</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8</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各劳务、分包班组工人在宿舍私拉乱接电线，使用100w以上照明、烤物取暖、超负荷用电烧水做饭。</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9</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各班组工人在生活区乱倒垃圾的。</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明知作业环危险, 不具备作业条件, 夜间、冬期安排危险作业，不采取措施，其它违章指挥操作的。</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11</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门卫保安未执行施工现场规定，进岀车辆、人员必须登记。</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12</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严禁工人在施工现场追跑、打闹及携带老人、小孩进入施工现场。</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13</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无特种作业操作证的（电工、焊工、架工、塔吊司机、信号工及提笼）操作证等。</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14</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招用老年工、童工或残疾人，（特殊保护规定）所规定的禁忌劳工。</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15</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违章指挥,造成未遂事故(没有发生人员伤害的)。</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16</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严禁酗酒闹事, 打架斗殴、聚众赌博等行违。</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17</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项目宿舍的公物不得随意损坏。</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毎件100元-500元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18</w:t>
            </w:r>
          </w:p>
        </w:tc>
        <w:tc>
          <w:tcPr>
            <w:tcW w:w="8195"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任何班组员工便于自已操作，损坏安全防护未及时恢复。</w:t>
            </w:r>
          </w:p>
        </w:tc>
        <w:tc>
          <w:tcPr>
            <w:tcW w:w="1702" w:type="dxa"/>
            <w:noWrap w:val="0"/>
            <w:vAlign w:val="top"/>
          </w:tcPr>
          <w:p>
            <w:pPr>
              <w:spacing w:line="360" w:lineRule="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500元/次</w:t>
            </w:r>
          </w:p>
        </w:tc>
      </w:tr>
    </w:tbl>
    <w:p>
      <w:pPr>
        <w:snapToGrid w:val="0"/>
        <w:spacing w:line="360" w:lineRule="auto"/>
        <w:rPr>
          <w:rFonts w:hint="eastAsia" w:ascii="Times New Roman" w:hAnsi="Times New Roman" w:eastAsia="仿宋" w:cs="Times New Roman"/>
          <w:sz w:val="28"/>
          <w:szCs w:val="28"/>
        </w:rPr>
      </w:pPr>
    </w:p>
    <w:p>
      <w:pPr>
        <w:pStyle w:val="11"/>
        <w:spacing w:before="0" w:beforeAutospacing="0" w:after="0" w:afterAutospacing="0" w:line="360" w:lineRule="auto"/>
        <w:rPr>
          <w:rFonts w:hint="eastAsia" w:ascii="Times New Roman" w:hAnsi="Times New Roman" w:eastAsia="仿宋" w:cs="Times New Roman"/>
          <w:color w:val="000000"/>
          <w:sz w:val="28"/>
          <w:szCs w:val="28"/>
        </w:rPr>
      </w:pPr>
    </w:p>
    <w:p>
      <w:pPr>
        <w:spacing w:line="360" w:lineRule="auto"/>
        <w:rPr>
          <w:rFonts w:hint="eastAsia" w:ascii="Times New Roman" w:hAnsi="Times New Roman" w:eastAsia="仿宋" w:cs="Times New Roman"/>
          <w:sz w:val="28"/>
          <w:szCs w:val="28"/>
        </w:rPr>
      </w:pPr>
    </w:p>
    <w:p>
      <w:pPr>
        <w:rPr>
          <w:rFonts w:hint="eastAsia" w:ascii="宋体" w:hAnsi="宋体"/>
          <w:b/>
          <w:sz w:val="28"/>
          <w:szCs w:val="28"/>
          <w:highlight w:val="none"/>
        </w:rPr>
      </w:pPr>
      <w:r>
        <w:rPr>
          <w:rFonts w:hint="eastAsia" w:ascii="宋体" w:hAnsi="宋体"/>
          <w:b/>
          <w:sz w:val="28"/>
          <w:szCs w:val="28"/>
          <w:highlight w:val="none"/>
        </w:rPr>
        <w:br w:type="page"/>
      </w:r>
    </w:p>
    <w:p>
      <w:pPr>
        <w:spacing w:line="560" w:lineRule="exact"/>
        <w:rPr>
          <w:rFonts w:ascii="宋体" w:hAnsi="宋体"/>
          <w:b/>
          <w:sz w:val="28"/>
          <w:szCs w:val="28"/>
          <w:highlight w:val="none"/>
        </w:rPr>
      </w:pPr>
      <w:r>
        <w:rPr>
          <w:rFonts w:hint="eastAsia" w:ascii="宋体" w:hAnsi="宋体"/>
          <w:b/>
          <w:sz w:val="28"/>
          <w:szCs w:val="28"/>
          <w:highlight w:val="none"/>
        </w:rPr>
        <w:t>第六部分  附表</w:t>
      </w:r>
    </w:p>
    <w:p>
      <w:pPr>
        <w:spacing w:line="560" w:lineRule="exact"/>
        <w:jc w:val="center"/>
        <w:rPr>
          <w:rFonts w:ascii="Calibri" w:hAnsi="Calibri" w:eastAsia="宋体" w:cs="宋体"/>
          <w:b/>
          <w:bCs/>
          <w:w w:val="90"/>
          <w:sz w:val="44"/>
          <w:szCs w:val="44"/>
          <w:highlight w:val="none"/>
        </w:rPr>
      </w:pPr>
      <w:bookmarkStart w:id="107" w:name="_Toc454701405"/>
      <w:bookmarkStart w:id="108" w:name="_Toc458262638"/>
      <w:bookmarkStart w:id="109" w:name="_Toc6727971"/>
      <w:bookmarkStart w:id="110" w:name="_Toc65998015"/>
      <w:bookmarkStart w:id="111" w:name="_Toc491658679"/>
      <w:bookmarkStart w:id="112" w:name="_Toc480021081"/>
      <w:bookmarkStart w:id="113" w:name="_Toc467236768"/>
      <w:bookmarkStart w:id="114" w:name="_Toc123786880"/>
      <w:bookmarkStart w:id="115" w:name="_Toc6397150"/>
      <w:bookmarkStart w:id="116" w:name="_Toc500861026"/>
      <w:bookmarkStart w:id="117" w:name="_Toc90779595"/>
      <w:bookmarkStart w:id="118" w:name="_Toc479991610"/>
      <w:bookmarkStart w:id="119" w:name="_Toc468157564"/>
      <w:bookmarkStart w:id="120" w:name="_Toc480020285"/>
      <w:bookmarkStart w:id="121" w:name="_Toc467987851"/>
      <w:bookmarkStart w:id="122" w:name="_Toc468606057"/>
      <w:bookmarkStart w:id="123" w:name="_Toc480010736"/>
      <w:r>
        <w:rPr>
          <w:rFonts w:hint="eastAsia" w:ascii="Calibri" w:hAnsi="Calibri" w:eastAsia="宋体" w:cs="宋体"/>
          <w:b/>
          <w:bCs/>
          <w:w w:val="90"/>
          <w:sz w:val="44"/>
          <w:szCs w:val="44"/>
          <w:highlight w:val="none"/>
          <w:lang w:val="en-US" w:eastAsia="zh-CN"/>
        </w:rPr>
        <w:t>满洲里国门党建学院二期项目新建楼主体劳务分包</w:t>
      </w:r>
    </w:p>
    <w:p>
      <w:pPr>
        <w:spacing w:line="560" w:lineRule="exact"/>
        <w:jc w:val="center"/>
        <w:rPr>
          <w:b/>
          <w:sz w:val="36"/>
          <w:szCs w:val="36"/>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default" w:ascii="Calibri" w:hAnsi="Calibri" w:eastAsia="宋体" w:cs="宋体"/>
          <w:b/>
          <w:sz w:val="32"/>
          <w:szCs w:val="32"/>
          <w:highlight w:val="none"/>
          <w:lang w:val="en-US" w:eastAsia="zh-CN"/>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w:t>
      </w:r>
      <w:r>
        <w:rPr>
          <w:rFonts w:hint="eastAsia" w:ascii="Calibri" w:hAnsi="Calibri" w:eastAsia="宋体" w:cs="宋体"/>
          <w:b/>
          <w:sz w:val="32"/>
          <w:szCs w:val="32"/>
          <w:highlight w:val="none"/>
          <w:u w:val="single"/>
          <w:lang w:val="en-US" w:eastAsia="zh-CN"/>
        </w:rPr>
        <w:t>2021-02-001</w:t>
      </w:r>
    </w:p>
    <w:p>
      <w:pPr>
        <w:spacing w:line="560" w:lineRule="exact"/>
        <w:jc w:val="both"/>
        <w:rPr>
          <w:rFonts w:hint="eastAsia" w:ascii="Calibri" w:hAnsi="Calibri" w:eastAsia="宋体" w:cs="宋体"/>
          <w:b/>
          <w:sz w:val="32"/>
          <w:szCs w:val="32"/>
          <w:highlight w:val="none"/>
        </w:rPr>
      </w:pP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Pr>
        <w:jc w:val="center"/>
        <w:rPr>
          <w:rFonts w:ascii="宋体" w:hAnsi="宋体" w:cs="宋体"/>
          <w:b/>
          <w:bCs/>
          <w:sz w:val="52"/>
          <w:szCs w:val="52"/>
          <w:highlight w:val="none"/>
        </w:rPr>
      </w:pPr>
      <w:r>
        <w:rPr>
          <w:rFonts w:ascii="Calibri" w:hAnsi="Calibri" w:eastAsia="宋体" w:cs="Times New Roman"/>
          <w:b/>
          <w:sz w:val="32"/>
          <w:szCs w:val="32"/>
          <w:highlight w:val="none"/>
        </w:rPr>
        <w:br w:type="page"/>
      </w:r>
      <w:r>
        <w:rPr>
          <w:rFonts w:hint="eastAsia" w:ascii="宋体" w:hAnsi="宋体" w:cs="宋体"/>
          <w:b/>
          <w:bCs/>
          <w:sz w:val="52"/>
          <w:szCs w:val="52"/>
          <w:highlight w:val="none"/>
        </w:rPr>
        <w:t>目 录</w:t>
      </w:r>
    </w:p>
    <w:p>
      <w:pPr>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第一部分：商务技术标书</w:t>
      </w:r>
    </w:p>
    <w:p>
      <w:pPr>
        <w:rPr>
          <w:rFonts w:ascii="宋体" w:hAnsi="宋体"/>
          <w:sz w:val="28"/>
          <w:szCs w:val="28"/>
          <w:highlight w:val="none"/>
        </w:rPr>
      </w:pPr>
      <w:r>
        <w:rPr>
          <w:rFonts w:hint="eastAsia" w:ascii="宋体" w:hAnsi="宋体"/>
          <w:sz w:val="28"/>
          <w:szCs w:val="28"/>
          <w:highlight w:val="none"/>
        </w:rPr>
        <w:t>附表一：投标函</w:t>
      </w:r>
    </w:p>
    <w:p>
      <w:pPr>
        <w:rPr>
          <w:rFonts w:ascii="宋体" w:hAnsi="宋体"/>
          <w:sz w:val="28"/>
          <w:szCs w:val="28"/>
          <w:highlight w:val="none"/>
        </w:rPr>
      </w:pPr>
      <w:r>
        <w:rPr>
          <w:rFonts w:hint="eastAsia" w:ascii="宋体" w:hAnsi="宋体"/>
          <w:sz w:val="28"/>
          <w:szCs w:val="28"/>
          <w:highlight w:val="none"/>
        </w:rPr>
        <w:t>附表二：法定代表人资格证明书</w:t>
      </w:r>
    </w:p>
    <w:p>
      <w:pPr>
        <w:rPr>
          <w:rFonts w:ascii="宋体" w:hAnsi="宋体"/>
          <w:sz w:val="28"/>
          <w:szCs w:val="28"/>
          <w:highlight w:val="none"/>
        </w:rPr>
      </w:pPr>
      <w:r>
        <w:rPr>
          <w:rFonts w:hint="eastAsia" w:ascii="宋体" w:hAnsi="宋体"/>
          <w:sz w:val="28"/>
          <w:szCs w:val="28"/>
          <w:highlight w:val="none"/>
        </w:rPr>
        <w:t>附表三：法定代表人授权书及身份证</w:t>
      </w:r>
    </w:p>
    <w:p>
      <w:pPr>
        <w:rPr>
          <w:rFonts w:ascii="宋体" w:hAnsi="宋体"/>
          <w:sz w:val="28"/>
          <w:szCs w:val="28"/>
          <w:highlight w:val="none"/>
        </w:rPr>
      </w:pPr>
      <w:r>
        <w:rPr>
          <w:rFonts w:hint="eastAsia" w:ascii="宋体" w:hAnsi="宋体"/>
          <w:sz w:val="28"/>
          <w:szCs w:val="28"/>
          <w:highlight w:val="none"/>
        </w:rPr>
        <w:t>附表四：</w:t>
      </w:r>
      <w:r>
        <w:rPr>
          <w:rFonts w:hint="eastAsia" w:ascii="宋体" w:hAnsi="宋体" w:cs="宋体"/>
          <w:sz w:val="28"/>
          <w:szCs w:val="28"/>
          <w:highlight w:val="none"/>
        </w:rPr>
        <w:t>资格审查文件</w:t>
      </w:r>
    </w:p>
    <w:p>
      <w:pPr>
        <w:rPr>
          <w:rFonts w:ascii="宋体" w:hAnsi="宋体"/>
          <w:sz w:val="28"/>
          <w:szCs w:val="28"/>
          <w:highlight w:val="none"/>
        </w:rPr>
      </w:pPr>
      <w:r>
        <w:rPr>
          <w:rFonts w:hint="eastAsia" w:ascii="宋体" w:hAnsi="宋体"/>
          <w:sz w:val="28"/>
          <w:szCs w:val="28"/>
          <w:highlight w:val="none"/>
        </w:rPr>
        <w:t>附表五：</w:t>
      </w:r>
      <w:r>
        <w:rPr>
          <w:rFonts w:hint="eastAsia" w:ascii="宋体" w:hAnsi="宋体" w:cs="宋体"/>
          <w:sz w:val="28"/>
          <w:szCs w:val="28"/>
          <w:highlight w:val="none"/>
        </w:rPr>
        <w:t>投标申请人情况</w:t>
      </w:r>
    </w:p>
    <w:p>
      <w:pPr>
        <w:rPr>
          <w:rFonts w:ascii="宋体" w:hAnsi="宋体"/>
          <w:sz w:val="28"/>
          <w:szCs w:val="28"/>
          <w:highlight w:val="none"/>
        </w:rPr>
      </w:pPr>
      <w:r>
        <w:rPr>
          <w:rFonts w:hint="eastAsia" w:ascii="宋体" w:hAnsi="宋体"/>
          <w:sz w:val="28"/>
          <w:szCs w:val="28"/>
          <w:highlight w:val="none"/>
        </w:rPr>
        <w:t>第二部分：经济标书</w:t>
      </w:r>
    </w:p>
    <w:p>
      <w:pPr>
        <w:rPr>
          <w:rFonts w:ascii="宋体" w:hAnsi="宋体"/>
          <w:sz w:val="28"/>
          <w:szCs w:val="28"/>
          <w:highlight w:val="none"/>
        </w:rPr>
      </w:pPr>
      <w:r>
        <w:rPr>
          <w:rFonts w:hint="eastAsia" w:ascii="宋体" w:hAnsi="宋体"/>
          <w:sz w:val="28"/>
          <w:szCs w:val="28"/>
          <w:highlight w:val="none"/>
        </w:rPr>
        <w:t>附表六：投标报价表</w:t>
      </w:r>
    </w:p>
    <w:p>
      <w:pPr>
        <w:rPr>
          <w:rFonts w:ascii="宋体" w:hAnsi="宋体" w:eastAsia="宋体" w:cs="宋体"/>
          <w:sz w:val="28"/>
          <w:szCs w:val="28"/>
          <w:highlight w:val="none"/>
        </w:rPr>
      </w:pPr>
    </w:p>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Pr>
        <w:rPr>
          <w:rFonts w:ascii="宋体" w:hAnsi="宋体" w:eastAsia="宋体" w:cs="宋体"/>
          <w:sz w:val="20"/>
          <w:szCs w:val="20"/>
          <w:highlight w:val="none"/>
        </w:rPr>
      </w:pPr>
      <w:bookmarkStart w:id="124" w:name="_Toc123786881"/>
      <w:bookmarkStart w:id="125" w:name="_Toc6727972"/>
      <w:bookmarkStart w:id="126" w:name="_Toc26066260"/>
      <w:bookmarkStart w:id="127" w:name="_Toc90779596"/>
      <w:bookmarkStart w:id="128" w:name="_Toc65998016"/>
      <w:bookmarkStart w:id="129" w:name="_Toc500861027"/>
      <w:bookmarkStart w:id="130" w:name="_Toc6397151"/>
      <w:bookmarkStart w:id="131" w:name="_Toc491658680"/>
    </w:p>
    <w:p>
      <w:pPr>
        <w:widowControl/>
        <w:jc w:val="left"/>
        <w:rPr>
          <w:rFonts w:ascii="宋体" w:hAnsi="宋体" w:eastAsia="宋体" w:cs="宋体"/>
          <w:sz w:val="20"/>
          <w:szCs w:val="20"/>
          <w:highlight w:val="none"/>
        </w:rPr>
      </w:pPr>
      <w:r>
        <w:rPr>
          <w:rFonts w:ascii="宋体" w:hAnsi="宋体" w:eastAsia="宋体" w:cs="宋体"/>
          <w:sz w:val="20"/>
          <w:szCs w:val="20"/>
          <w:highlight w:val="none"/>
        </w:rPr>
        <w:br w:type="page"/>
      </w:r>
    </w:p>
    <w:p>
      <w:pPr>
        <w:rPr>
          <w:rFonts w:ascii="宋体" w:hAnsi="宋体" w:eastAsia="宋体" w:cs="宋体"/>
          <w:sz w:val="20"/>
          <w:szCs w:val="20"/>
          <w:highlight w:val="none"/>
        </w:rPr>
      </w:pPr>
      <w:r>
        <w:rPr>
          <w:rFonts w:hint="eastAsia" w:ascii="宋体" w:hAnsi="宋体" w:eastAsia="宋体" w:cs="宋体"/>
          <w:sz w:val="20"/>
          <w:szCs w:val="20"/>
          <w:highlight w:val="none"/>
        </w:rPr>
        <w:t>附表一：投标函</w:t>
      </w:r>
    </w:p>
    <w:p>
      <w:pPr>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重庆对外建设(集团)有限公司 </w:t>
      </w:r>
      <w:r>
        <w:rPr>
          <w:rFonts w:hint="eastAsia" w:ascii="宋体" w:hAnsi="宋体"/>
          <w:sz w:val="28"/>
          <w:szCs w:val="28"/>
          <w:highlight w:val="none"/>
        </w:rPr>
        <w:t>（招采单位）：</w:t>
      </w:r>
    </w:p>
    <w:p>
      <w:pPr>
        <w:tabs>
          <w:tab w:val="left" w:pos="5670"/>
        </w:tabs>
        <w:spacing w:line="560" w:lineRule="exact"/>
        <w:rPr>
          <w:rFonts w:ascii="宋体" w:hAnsi="宋体" w:cs="宋体"/>
          <w:sz w:val="28"/>
          <w:szCs w:val="28"/>
          <w:highlight w:val="none"/>
        </w:rPr>
      </w:pPr>
      <w:r>
        <w:rPr>
          <w:rFonts w:hint="eastAsia" w:ascii="宋体" w:hAnsi="宋体" w:cs="宋体"/>
          <w:sz w:val="28"/>
          <w:szCs w:val="28"/>
          <w:highlight w:val="none"/>
        </w:rPr>
        <w:t>我方已仔细研究了</w:t>
      </w:r>
      <w:r>
        <w:rPr>
          <w:rFonts w:hint="eastAsia" w:ascii="宋体" w:hAnsi="宋体" w:cs="宋体"/>
          <w:sz w:val="28"/>
          <w:szCs w:val="28"/>
          <w:highlight w:val="none"/>
          <w:u w:val="single"/>
          <w:lang w:eastAsia="zh-CN"/>
        </w:rPr>
        <w:t>满洲里国门党建学院二期项目新建楼主体劳务分包</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rPr>
        <w:tab/>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）的投标总报价参与投标，此报价包含招采范围内的所有工作内容及其相关费用。</w:t>
      </w:r>
    </w:p>
    <w:p>
      <w:pPr>
        <w:jc w:val="left"/>
        <w:rPr>
          <w:rFonts w:ascii="宋体" w:hAnsi="宋体"/>
          <w:sz w:val="28"/>
          <w:szCs w:val="28"/>
          <w:highlight w:val="none"/>
        </w:rPr>
      </w:pPr>
      <w:r>
        <w:rPr>
          <w:rFonts w:hint="eastAsia" w:ascii="宋体" w:hAnsi="宋体"/>
          <w:sz w:val="28"/>
          <w:szCs w:val="28"/>
          <w:highlight w:val="none"/>
        </w:rPr>
        <w:t>我方同意以下内容：</w:t>
      </w:r>
    </w:p>
    <w:p>
      <w:pPr>
        <w:rPr>
          <w:rFonts w:ascii="宋体" w:hAnsi="宋体"/>
          <w:sz w:val="28"/>
          <w:szCs w:val="28"/>
          <w:highlight w:val="none"/>
        </w:rPr>
      </w:pPr>
      <w:r>
        <w:rPr>
          <w:rFonts w:hint="eastAsia" w:ascii="宋体" w:hAnsi="宋体"/>
          <w:sz w:val="28"/>
          <w:szCs w:val="28"/>
          <w:highlight w:val="none"/>
        </w:rPr>
        <w:t>1.本次投标所报内容完全按照招采文件要求填报，所有内容都是真实、准确的。</w:t>
      </w:r>
    </w:p>
    <w:p>
      <w:pPr>
        <w:rPr>
          <w:rFonts w:ascii="宋体" w:hAnsi="宋体"/>
          <w:sz w:val="28"/>
          <w:szCs w:val="28"/>
          <w:highlight w:val="none"/>
        </w:rPr>
      </w:pPr>
      <w:r>
        <w:rPr>
          <w:rFonts w:hint="eastAsia" w:ascii="宋体" w:hAnsi="宋体"/>
          <w:sz w:val="28"/>
          <w:szCs w:val="28"/>
          <w:highlight w:val="none"/>
        </w:rPr>
        <w:t>2.投标人将按招采文件的规定履行全部合同责任和义务。</w:t>
      </w:r>
    </w:p>
    <w:p>
      <w:pPr>
        <w:rPr>
          <w:rFonts w:ascii="宋体" w:hAnsi="宋体"/>
          <w:sz w:val="28"/>
          <w:szCs w:val="28"/>
          <w:highlight w:val="none"/>
        </w:rPr>
      </w:pPr>
      <w:r>
        <w:rPr>
          <w:rFonts w:hint="eastAsia" w:ascii="宋体" w:hAnsi="宋体"/>
          <w:sz w:val="28"/>
          <w:szCs w:val="28"/>
          <w:highlight w:val="none"/>
        </w:rPr>
        <w:t>3.投标人已详细审查全部招采文件，包括修改文件（如有的话）以及全部参考资料和有关附表。我们完全理解并同意放弃对这方面有不明及误解的权利。</w:t>
      </w:r>
    </w:p>
    <w:p>
      <w:pPr>
        <w:rPr>
          <w:rFonts w:ascii="宋体" w:hAnsi="宋体"/>
          <w:sz w:val="28"/>
          <w:szCs w:val="28"/>
          <w:highlight w:val="none"/>
        </w:rPr>
      </w:pPr>
      <w:r>
        <w:rPr>
          <w:rFonts w:hint="eastAsia" w:ascii="宋体" w:hAnsi="宋体"/>
          <w:sz w:val="28"/>
          <w:szCs w:val="28"/>
          <w:highlight w:val="none"/>
        </w:rPr>
        <w:t>4.若有违反招采文件相关规定，投标人完全承担由己方责任造成的一切后果。</w:t>
      </w:r>
    </w:p>
    <w:p>
      <w:pPr>
        <w:rPr>
          <w:rFonts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pPr>
        <w:rPr>
          <w:rFonts w:ascii="宋体" w:hAnsi="宋体"/>
          <w:sz w:val="28"/>
          <w:szCs w:val="28"/>
          <w:highlight w:val="none"/>
        </w:rPr>
      </w:pPr>
      <w:r>
        <w:rPr>
          <w:rFonts w:hint="eastAsia" w:ascii="宋体" w:hAnsi="宋体"/>
          <w:sz w:val="28"/>
          <w:szCs w:val="28"/>
          <w:highlight w:val="none"/>
        </w:rPr>
        <w:t>6.投标人接受招采文件中提出的其他相关要求。</w:t>
      </w:r>
    </w:p>
    <w:p>
      <w:pPr>
        <w:rPr>
          <w:rFonts w:ascii="宋体" w:hAnsi="宋体"/>
          <w:sz w:val="28"/>
          <w:szCs w:val="28"/>
          <w:highlight w:val="none"/>
        </w:rPr>
      </w:pPr>
      <w:r>
        <w:rPr>
          <w:rFonts w:hint="eastAsia" w:ascii="宋体" w:hAnsi="宋体"/>
          <w:sz w:val="28"/>
          <w:szCs w:val="28"/>
          <w:highlight w:val="none"/>
        </w:rPr>
        <w:t>投标人名称：（盖公章）</w:t>
      </w:r>
    </w:p>
    <w:p>
      <w:pPr>
        <w:rPr>
          <w:rFonts w:ascii="宋体" w:hAnsi="宋体"/>
          <w:sz w:val="28"/>
          <w:szCs w:val="28"/>
          <w:highlight w:val="none"/>
        </w:rPr>
      </w:pPr>
      <w:r>
        <w:rPr>
          <w:rFonts w:hint="eastAsia" w:ascii="宋体" w:hAnsi="宋体"/>
          <w:sz w:val="28"/>
          <w:szCs w:val="28"/>
          <w:highlight w:val="none"/>
        </w:rPr>
        <w:t xml:space="preserve">法定代表人或委托代理人：（签字） </w:t>
      </w:r>
    </w:p>
    <w:p>
      <w:pPr>
        <w:rPr>
          <w:rFonts w:ascii="宋体" w:hAnsi="宋体"/>
          <w:sz w:val="28"/>
          <w:szCs w:val="28"/>
          <w:highlight w:val="none"/>
        </w:rPr>
      </w:pPr>
      <w:r>
        <w:rPr>
          <w:rFonts w:hint="eastAsia" w:ascii="宋体" w:hAnsi="宋体"/>
          <w:sz w:val="28"/>
          <w:szCs w:val="28"/>
          <w:highlight w:val="none"/>
        </w:rPr>
        <w:t xml:space="preserve">开 户 行： </w:t>
      </w:r>
    </w:p>
    <w:p>
      <w:pPr>
        <w:rPr>
          <w:rFonts w:ascii="宋体" w:hAnsi="宋体"/>
          <w:sz w:val="28"/>
          <w:szCs w:val="28"/>
          <w:highlight w:val="none"/>
        </w:rPr>
      </w:pPr>
      <w:r>
        <w:rPr>
          <w:rFonts w:hint="eastAsia" w:ascii="宋体" w:hAnsi="宋体"/>
          <w:sz w:val="28"/>
          <w:szCs w:val="28"/>
          <w:highlight w:val="none"/>
        </w:rPr>
        <w:t xml:space="preserve">户    名： </w:t>
      </w:r>
    </w:p>
    <w:p>
      <w:pPr>
        <w:rPr>
          <w:rFonts w:ascii="宋体" w:hAnsi="宋体"/>
          <w:sz w:val="28"/>
          <w:szCs w:val="28"/>
          <w:highlight w:val="none"/>
        </w:rPr>
      </w:pPr>
      <w:r>
        <w:rPr>
          <w:rFonts w:hint="eastAsia" w:ascii="宋体" w:hAnsi="宋体"/>
          <w:sz w:val="28"/>
          <w:szCs w:val="28"/>
          <w:highlight w:val="none"/>
        </w:rPr>
        <w:t xml:space="preserve">账   号： </w:t>
      </w:r>
    </w:p>
    <w:p>
      <w:pPr>
        <w:rPr>
          <w:rFonts w:ascii="宋体" w:hAnsi="宋体"/>
          <w:sz w:val="28"/>
          <w:szCs w:val="28"/>
          <w:highlight w:val="none"/>
        </w:rPr>
      </w:pPr>
      <w:r>
        <w:rPr>
          <w:rFonts w:hint="eastAsia" w:ascii="宋体" w:hAnsi="宋体"/>
          <w:sz w:val="28"/>
          <w:szCs w:val="28"/>
          <w:highlight w:val="none"/>
        </w:rPr>
        <w:t>投标人地址：</w:t>
      </w:r>
    </w:p>
    <w:p>
      <w:pPr>
        <w:rPr>
          <w:rFonts w:hint="eastAsia" w:ascii="宋体" w:hAnsi="宋体"/>
          <w:sz w:val="28"/>
          <w:szCs w:val="28"/>
          <w:highlight w:val="none"/>
        </w:rPr>
      </w:pPr>
      <w:r>
        <w:rPr>
          <w:rFonts w:hint="eastAsia" w:ascii="宋体" w:hAnsi="宋体"/>
          <w:sz w:val="28"/>
          <w:szCs w:val="28"/>
          <w:highlight w:val="none"/>
        </w:rPr>
        <w:t>投标人电话：</w:t>
      </w:r>
    </w:p>
    <w:p>
      <w:pPr>
        <w:rPr>
          <w:rFonts w:ascii="宋体" w:hAnsi="宋体"/>
          <w:sz w:val="28"/>
          <w:szCs w:val="28"/>
          <w:highlight w:val="none"/>
        </w:rPr>
      </w:pPr>
      <w:r>
        <w:rPr>
          <w:rFonts w:hint="eastAsia" w:ascii="宋体" w:hAnsi="宋体"/>
          <w:sz w:val="28"/>
          <w:szCs w:val="28"/>
          <w:highlight w:val="none"/>
        </w:rPr>
        <w:t>投标人传真：</w:t>
      </w:r>
    </w:p>
    <w:p>
      <w:pPr>
        <w:rPr>
          <w:rFonts w:ascii="宋体" w:hAnsi="宋体"/>
          <w:sz w:val="28"/>
          <w:szCs w:val="28"/>
          <w:highlight w:val="none"/>
        </w:rPr>
      </w:pPr>
      <w:r>
        <w:rPr>
          <w:rFonts w:hint="eastAsia" w:ascii="宋体" w:hAnsi="宋体"/>
          <w:sz w:val="28"/>
          <w:szCs w:val="28"/>
          <w:highlight w:val="none"/>
        </w:rPr>
        <w:t>日期：年月日</w:t>
      </w:r>
    </w:p>
    <w:bookmarkEnd w:id="124"/>
    <w:p>
      <w:pPr>
        <w:rPr>
          <w:rFonts w:ascii="宋体" w:hAnsi="宋体"/>
          <w:szCs w:val="21"/>
          <w:highlight w:val="none"/>
        </w:rPr>
      </w:pPr>
      <w:bookmarkStart w:id="132" w:name="_Toc123786886"/>
      <w:r>
        <w:rPr>
          <w:rFonts w:hint="eastAsia" w:ascii="宋体" w:hAnsi="宋体"/>
          <w:szCs w:val="21"/>
          <w:highlight w:val="none"/>
        </w:rPr>
        <w:t>附表二：法定代表人资格证明书</w:t>
      </w:r>
    </w:p>
    <w:p>
      <w:pPr>
        <w:rPr>
          <w:rFonts w:ascii="宋体" w:hAnsi="宋体"/>
          <w:kern w:val="0"/>
          <w:sz w:val="28"/>
          <w:szCs w:val="28"/>
          <w:highlight w:val="none"/>
        </w:rPr>
      </w:pPr>
    </w:p>
    <w:p>
      <w:pPr>
        <w:rPr>
          <w:rFonts w:ascii="宋体" w:hAnsi="宋体"/>
          <w:kern w:val="0"/>
          <w:sz w:val="28"/>
          <w:szCs w:val="28"/>
          <w:highlight w:val="none"/>
          <w:u w:val="single"/>
        </w:rPr>
      </w:pPr>
      <w:r>
        <w:rPr>
          <w:rFonts w:hint="eastAsia" w:ascii="宋体" w:hAnsi="宋体"/>
          <w:kern w:val="0"/>
          <w:sz w:val="28"/>
          <w:szCs w:val="28"/>
          <w:highlight w:val="none"/>
        </w:rPr>
        <w:t>单位名称：</w:t>
      </w:r>
      <w:r>
        <w:rPr>
          <w:rFonts w:hint="eastAsia" w:ascii="宋体" w:hAnsi="宋体"/>
          <w:kern w:val="0"/>
          <w:sz w:val="28"/>
          <w:szCs w:val="28"/>
          <w:highlight w:val="none"/>
          <w:u w:val="single"/>
        </w:rPr>
        <w:t xml:space="preserve">                          </w:t>
      </w:r>
    </w:p>
    <w:p>
      <w:pPr>
        <w:rPr>
          <w:rFonts w:ascii="宋体" w:hAnsi="宋体"/>
          <w:kern w:val="0"/>
          <w:sz w:val="28"/>
          <w:szCs w:val="28"/>
          <w:highlight w:val="none"/>
          <w:u w:val="single"/>
        </w:rPr>
      </w:pPr>
      <w:r>
        <w:rPr>
          <w:rFonts w:hint="eastAsia" w:ascii="宋体" w:hAnsi="宋体"/>
          <w:kern w:val="0"/>
          <w:sz w:val="28"/>
          <w:szCs w:val="28"/>
          <w:highlight w:val="none"/>
        </w:rPr>
        <w:t>地址：</w:t>
      </w:r>
      <w:r>
        <w:rPr>
          <w:rFonts w:hint="eastAsia" w:ascii="宋体" w:hAnsi="宋体"/>
          <w:kern w:val="0"/>
          <w:sz w:val="28"/>
          <w:szCs w:val="28"/>
          <w:highlight w:val="none"/>
          <w:u w:val="single"/>
        </w:rPr>
        <w:t xml:space="preserve">                              </w:t>
      </w:r>
    </w:p>
    <w:p>
      <w:pPr>
        <w:rPr>
          <w:rFonts w:ascii="宋体" w:hAnsi="宋体"/>
          <w:kern w:val="0"/>
          <w:sz w:val="28"/>
          <w:szCs w:val="28"/>
          <w:highlight w:val="none"/>
          <w:u w:val="single"/>
        </w:rPr>
      </w:pPr>
    </w:p>
    <w:p>
      <w:pPr>
        <w:rPr>
          <w:rFonts w:ascii="宋体" w:hAnsi="宋体"/>
          <w:kern w:val="0"/>
          <w:sz w:val="28"/>
          <w:szCs w:val="28"/>
          <w:highlight w:val="none"/>
          <w:u w:val="single"/>
        </w:rPr>
      </w:pPr>
      <w:r>
        <w:rPr>
          <w:rFonts w:hint="eastAsia" w:ascii="宋体" w:hAnsi="宋体"/>
          <w:kern w:val="0"/>
          <w:sz w:val="28"/>
          <w:szCs w:val="28"/>
          <w:highlight w:val="none"/>
        </w:rPr>
        <w:t>姓名：</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性别：</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年龄：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职务：</w:t>
      </w:r>
      <w:r>
        <w:rPr>
          <w:rFonts w:hint="eastAsia" w:ascii="宋体" w:hAnsi="宋体"/>
          <w:kern w:val="0"/>
          <w:sz w:val="28"/>
          <w:szCs w:val="28"/>
          <w:highlight w:val="none"/>
          <w:u w:val="single"/>
        </w:rPr>
        <w:t xml:space="preserve">        </w:t>
      </w:r>
    </w:p>
    <w:p>
      <w:pPr>
        <w:rPr>
          <w:rFonts w:ascii="宋体" w:hAnsi="宋体"/>
          <w:kern w:val="0"/>
          <w:sz w:val="28"/>
          <w:szCs w:val="28"/>
          <w:highlight w:val="none"/>
        </w:rPr>
      </w:pPr>
      <w:r>
        <w:rPr>
          <w:rFonts w:hint="eastAsia" w:ascii="宋体" w:hAnsi="宋体"/>
          <w:kern w:val="0"/>
          <w:sz w:val="28"/>
          <w:szCs w:val="28"/>
          <w:highlight w:val="none"/>
        </w:rPr>
        <w:t>身份证号码：</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，系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（投标人名称）的法定代表人，参加</w:t>
      </w:r>
      <w:r>
        <w:rPr>
          <w:rFonts w:hint="eastAsia" w:ascii="宋体" w:hAnsi="宋体"/>
          <w:sz w:val="28"/>
          <w:szCs w:val="28"/>
          <w:highlight w:val="none"/>
          <w:u w:val="single"/>
        </w:rPr>
        <w:t xml:space="preserve">   </w:t>
      </w:r>
      <w:r>
        <w:rPr>
          <w:rFonts w:hint="eastAsia" w:ascii="宋体" w:hAnsi="宋体"/>
          <w:sz w:val="28"/>
          <w:szCs w:val="28"/>
          <w:highlight w:val="none"/>
          <w:u w:val="single"/>
          <w:lang w:eastAsia="zh-CN"/>
        </w:rPr>
        <w:t>满洲里国门党建学院二期项目新建楼主体劳务分包</w:t>
      </w:r>
      <w:r>
        <w:rPr>
          <w:rFonts w:hint="eastAsia" w:ascii="宋体" w:hAnsi="宋体"/>
          <w:sz w:val="28"/>
          <w:szCs w:val="28"/>
          <w:highlight w:val="none"/>
          <w:u w:val="single"/>
        </w:rPr>
        <w:t xml:space="preserve"> </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2021-02-001</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pPr>
        <w:rPr>
          <w:rFonts w:ascii="宋体" w:hAnsi="宋体"/>
          <w:kern w:val="0"/>
          <w:sz w:val="28"/>
          <w:szCs w:val="28"/>
          <w:highlight w:val="none"/>
        </w:rPr>
      </w:pPr>
      <w:r>
        <w:rPr>
          <w:rFonts w:hint="eastAsia" w:ascii="宋体" w:hAnsi="宋体"/>
          <w:kern w:val="0"/>
          <w:sz w:val="28"/>
          <w:szCs w:val="28"/>
          <w:highlight w:val="none"/>
        </w:rPr>
        <w:t>特此证明。</w:t>
      </w:r>
    </w:p>
    <w:p>
      <w:pPr>
        <w:rPr>
          <w:rFonts w:ascii="宋体" w:hAnsi="宋体"/>
          <w:kern w:val="0"/>
          <w:sz w:val="28"/>
          <w:szCs w:val="28"/>
          <w:highlight w:val="none"/>
        </w:rPr>
      </w:pPr>
      <w:r>
        <w:rPr>
          <w:rFonts w:hint="eastAsia" w:ascii="宋体" w:hAnsi="宋体"/>
          <w:sz w:val="28"/>
          <w:szCs w:val="28"/>
          <w:highlight w:val="none"/>
        </w:rPr>
        <w:t>附：法定代表人的身份证复印件</w:t>
      </w:r>
    </w:p>
    <w:p>
      <w:pPr>
        <w:rPr>
          <w:rFonts w:ascii="宋体" w:hAnsi="宋体"/>
          <w:kern w:val="0"/>
          <w:sz w:val="28"/>
          <w:szCs w:val="28"/>
          <w:highlight w:val="none"/>
        </w:rPr>
      </w:pPr>
      <w:r>
        <w:rPr>
          <w:rFonts w:ascii="宋体" w:hAnsi="宋体"/>
          <w:kern w:val="0"/>
          <w:sz w:val="28"/>
          <w:szCs w:val="28"/>
          <w:highlight w:val="none"/>
        </w:rPr>
        <w:pict>
          <v:rect id="Rectangle 2" o:spid="_x0000_s1033" o:spt="1" style="position:absolute;left:0pt;margin-left:-1.15pt;margin-top:5.55pt;height:162.05pt;width:422.85pt;z-index:251659264;mso-width-relative:page;mso-height-relative:page;" coordsize="21600,21600">
            <v:path/>
            <v:fill focussize="0,0"/>
            <v:stroke/>
            <v:imagedata o:title=""/>
            <o:lock v:ext="edit"/>
            <v:textbox>
              <w:txbxContent>
                <w:p/>
              </w:txbxContent>
            </v:textbox>
          </v:rect>
        </w:pic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Cs w:val="21"/>
          <w:highlight w:val="none"/>
        </w:rPr>
      </w:pPr>
      <w:r>
        <w:rPr>
          <w:rFonts w:hint="eastAsia" w:ascii="宋体" w:hAnsi="宋体" w:eastAsia="宋体" w:cs="Times New Roman"/>
          <w:bCs/>
          <w:sz w:val="28"/>
          <w:szCs w:val="28"/>
          <w:highlight w:val="none"/>
        </w:rPr>
        <w:br w:type="page"/>
      </w:r>
      <w:bookmarkStart w:id="133" w:name="_Toc123786882"/>
      <w:bookmarkStart w:id="134" w:name="_Toc123786884"/>
      <w:r>
        <w:rPr>
          <w:rFonts w:hint="eastAsia" w:ascii="宋体" w:hAnsi="宋体"/>
          <w:szCs w:val="21"/>
          <w:highlight w:val="none"/>
        </w:rPr>
        <w:t>附表三：法定代表人授权书</w:t>
      </w:r>
      <w:bookmarkEnd w:id="133"/>
    </w:p>
    <w:p>
      <w:pPr>
        <w:rPr>
          <w:rFonts w:ascii="宋体" w:hAnsi="宋体"/>
          <w:kern w:val="0"/>
          <w:sz w:val="28"/>
          <w:szCs w:val="28"/>
          <w:highlight w:val="none"/>
          <w:u w:val="single"/>
        </w:rPr>
      </w:pPr>
      <w:r>
        <w:rPr>
          <w:rFonts w:hint="eastAsia" w:ascii="宋体" w:hAnsi="宋体"/>
          <w:kern w:val="0"/>
          <w:sz w:val="28"/>
          <w:szCs w:val="28"/>
          <w:highlight w:val="none"/>
        </w:rPr>
        <w:t xml:space="preserve">    本授权书声明：我</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（姓名）系</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（姓名）为我公司代理人，以本公司的名义参加</w:t>
      </w:r>
      <w:r>
        <w:rPr>
          <w:rFonts w:hint="eastAsia" w:ascii="宋体" w:hAnsi="宋体"/>
          <w:sz w:val="28"/>
          <w:szCs w:val="28"/>
          <w:highlight w:val="none"/>
          <w:u w:val="single"/>
        </w:rPr>
        <w:t>重庆对外建设(集团)有限公司</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（招采单位）组织的</w:t>
      </w:r>
      <w:r>
        <w:rPr>
          <w:rFonts w:hint="eastAsia" w:ascii="宋体" w:hAnsi="宋体"/>
          <w:sz w:val="28"/>
          <w:szCs w:val="28"/>
          <w:highlight w:val="none"/>
          <w:u w:val="single"/>
        </w:rPr>
        <w:t xml:space="preserve">  </w:t>
      </w:r>
      <w:r>
        <w:rPr>
          <w:rFonts w:hint="eastAsia" w:ascii="宋体" w:hAnsi="宋体"/>
          <w:sz w:val="28"/>
          <w:szCs w:val="28"/>
          <w:highlight w:val="none"/>
          <w:u w:val="single"/>
          <w:lang w:eastAsia="zh-CN"/>
        </w:rPr>
        <w:t>满洲里国门党建学院二期项目新建楼主体劳务分包</w:t>
      </w:r>
      <w:r>
        <w:rPr>
          <w:rFonts w:hint="eastAsia" w:ascii="宋体" w:hAnsi="宋体"/>
          <w:sz w:val="28"/>
          <w:szCs w:val="28"/>
          <w:highlight w:val="none"/>
          <w:u w:val="single"/>
        </w:rPr>
        <w:t>（</w:t>
      </w:r>
      <w:r>
        <w:rPr>
          <w:rFonts w:hint="eastAsia" w:ascii="宋体" w:hAnsi="宋体"/>
          <w:sz w:val="28"/>
          <w:szCs w:val="28"/>
          <w:highlight w:val="none"/>
        </w:rPr>
        <w:t>项目名称）招采（招采编号：</w:t>
      </w:r>
      <w:r>
        <w:rPr>
          <w:rFonts w:hint="eastAsia" w:ascii="宋体" w:hAnsi="宋体"/>
          <w:sz w:val="28"/>
          <w:szCs w:val="28"/>
          <w:highlight w:val="none"/>
          <w:u w:val="single"/>
        </w:rPr>
        <w:t>2021-02-001</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highlight w:val="none"/>
        </w:rPr>
      </w:pPr>
      <w:r>
        <w:rPr>
          <w:rFonts w:hint="eastAsia" w:ascii="宋体" w:hAnsi="宋体"/>
          <w:kern w:val="0"/>
          <w:sz w:val="28"/>
          <w:szCs w:val="28"/>
          <w:highlight w:val="none"/>
        </w:rPr>
        <w:t>代理人无转移委托权。</w:t>
      </w:r>
    </w:p>
    <w:p>
      <w:pPr>
        <w:rPr>
          <w:rFonts w:ascii="宋体" w:hAnsi="宋体"/>
          <w:kern w:val="0"/>
          <w:sz w:val="28"/>
          <w:szCs w:val="28"/>
          <w:highlight w:val="none"/>
        </w:rPr>
      </w:pPr>
      <w:r>
        <w:rPr>
          <w:rFonts w:hint="eastAsia" w:ascii="宋体" w:hAnsi="宋体"/>
          <w:kern w:val="0"/>
          <w:sz w:val="28"/>
          <w:szCs w:val="28"/>
          <w:highlight w:val="none"/>
        </w:rPr>
        <w:t>特此委托。</w:t>
      </w:r>
    </w:p>
    <w:p>
      <w:pPr>
        <w:rPr>
          <w:rFonts w:ascii="宋体" w:hAnsi="宋体"/>
          <w:sz w:val="28"/>
          <w:szCs w:val="28"/>
          <w:highlight w:val="none"/>
        </w:rPr>
      </w:pPr>
      <w:r>
        <w:rPr>
          <w:rFonts w:ascii="宋体" w:hAnsi="宋体"/>
          <w:sz w:val="28"/>
          <w:szCs w:val="28"/>
          <w:highlight w:val="none"/>
        </w:rPr>
        <w:pict>
          <v:rect id="_x0000_s1035" o:spid="_x0000_s1035" o:spt="1" style="position:absolute;left:0pt;margin-left:7.8pt;margin-top:24.45pt;height:162.05pt;width:422.85pt;z-index:251660288;mso-width-relative:page;mso-height-relative:page;" coordsize="21600,21600">
            <v:path/>
            <v:fill focussize="0,0"/>
            <v:stroke/>
            <v:imagedata o:title=""/>
            <o:lock v:ext="edit"/>
            <v:textbox>
              <w:txbxContent>
                <w:p/>
              </w:txbxContent>
            </v:textbox>
          </v:rect>
        </w:pict>
      </w:r>
      <w:r>
        <w:rPr>
          <w:rFonts w:hint="eastAsia" w:ascii="宋体" w:hAnsi="宋体"/>
          <w:sz w:val="28"/>
          <w:szCs w:val="28"/>
          <w:highlight w:val="none"/>
        </w:rPr>
        <w:t>附：委托代理人的身份证复印件：</w:t>
      </w:r>
      <w:r>
        <w:rPr>
          <w:rFonts w:ascii="宋体" w:hAnsi="宋体"/>
          <w:sz w:val="28"/>
          <w:szCs w:val="28"/>
          <w:highlight w:val="none"/>
        </w:rPr>
        <w:t xml:space="preserve"> </w: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spacing w:beforeLines="50"/>
        <w:rPr>
          <w:rFonts w:ascii="宋体" w:hAnsi="宋体"/>
          <w:kern w:val="0"/>
          <w:sz w:val="28"/>
          <w:szCs w:val="28"/>
          <w:highlight w:val="none"/>
          <w:u w:val="singl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hint="eastAsia" w:ascii="宋体" w:hAnsi="宋体"/>
          <w:kern w:val="0"/>
          <w:sz w:val="28"/>
          <w:szCs w:val="28"/>
          <w:highlight w:val="none"/>
        </w:rPr>
      </w:pPr>
      <w:r>
        <w:rPr>
          <w:rFonts w:hint="eastAsia" w:ascii="宋体" w:hAnsi="宋体"/>
          <w:kern w:val="0"/>
          <w:sz w:val="28"/>
          <w:szCs w:val="28"/>
          <w:highlight w:val="none"/>
        </w:rPr>
        <w:t>法定代表人：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r>
        <w:rPr>
          <w:rFonts w:hint="eastAsia" w:ascii="宋体" w:hAnsi="宋体"/>
          <w:kern w:val="0"/>
          <w:sz w:val="28"/>
          <w:szCs w:val="28"/>
          <w:highlight w:val="none"/>
          <w:lang w:eastAsia="zh-CN"/>
        </w:rPr>
        <w:t>或盖章</w:t>
      </w:r>
      <w:r>
        <w:rPr>
          <w:rFonts w:hint="eastAsia" w:ascii="宋体" w:hAnsi="宋体"/>
          <w:kern w:val="0"/>
          <w:sz w:val="28"/>
          <w:szCs w:val="28"/>
          <w:highlight w:val="none"/>
        </w:rPr>
        <w:t>）</w:t>
      </w:r>
    </w:p>
    <w:p>
      <w:pPr>
        <w:rPr>
          <w:rFonts w:hint="eastAsia" w:ascii="宋体" w:hAnsi="宋体"/>
          <w:kern w:val="0"/>
          <w:sz w:val="28"/>
          <w:szCs w:val="28"/>
          <w:highlight w:val="none"/>
        </w:rPr>
      </w:pPr>
      <w:r>
        <w:rPr>
          <w:rFonts w:hint="eastAsia" w:ascii="宋体" w:hAnsi="宋体"/>
          <w:kern w:val="0"/>
          <w:sz w:val="28"/>
          <w:szCs w:val="28"/>
          <w:highlight w:val="none"/>
          <w:lang w:eastAsia="zh-CN"/>
        </w:rPr>
        <w:t>委托代理人</w:t>
      </w:r>
      <w:r>
        <w:rPr>
          <w:rFonts w:hint="eastAsia" w:ascii="宋体" w:hAnsi="宋体"/>
          <w:kern w:val="0"/>
          <w:sz w:val="28"/>
          <w:szCs w:val="28"/>
          <w:highlight w:val="none"/>
        </w:rPr>
        <w:t>：</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 w:val="28"/>
          <w:szCs w:val="28"/>
          <w:highlight w:val="none"/>
        </w:rPr>
      </w:pPr>
      <w:r>
        <w:rPr>
          <w:rFonts w:hint="eastAsia" w:ascii="宋体" w:hAnsi="宋体"/>
          <w:sz w:val="28"/>
          <w:szCs w:val="28"/>
          <w:highlight w:val="none"/>
        </w:rPr>
        <w:t>注：投标人法定代表人参加投标的无须提供该委托书。</w:t>
      </w:r>
    </w:p>
    <w:p>
      <w:pPr>
        <w:widowControl/>
        <w:jc w:val="left"/>
        <w:rPr>
          <w:rFonts w:ascii="宋体" w:hAnsi="宋体" w:eastAsia="宋体" w:cs="宋体"/>
          <w:szCs w:val="21"/>
          <w:highlight w:val="none"/>
        </w:rPr>
      </w:pPr>
    </w:p>
    <w:p>
      <w:pPr>
        <w:widowControl/>
        <w:jc w:val="left"/>
        <w:rPr>
          <w:rFonts w:ascii="宋体" w:hAnsi="宋体" w:eastAsia="宋体" w:cs="宋体"/>
          <w:kern w:val="0"/>
          <w:sz w:val="28"/>
          <w:szCs w:val="28"/>
          <w:highlight w:val="none"/>
        </w:rPr>
      </w:pPr>
      <w:r>
        <w:rPr>
          <w:rFonts w:ascii="宋体" w:hAnsi="宋体" w:eastAsia="宋体" w:cs="宋体"/>
          <w:szCs w:val="21"/>
          <w:highlight w:val="none"/>
        </w:rPr>
        <w:br w:type="page"/>
      </w:r>
      <w:r>
        <w:rPr>
          <w:rFonts w:hint="eastAsia" w:ascii="宋体" w:hAnsi="宋体" w:eastAsia="宋体" w:cs="宋体"/>
          <w:szCs w:val="21"/>
          <w:highlight w:val="none"/>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劳务分包资质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rPr>
          <w:rFonts w:ascii="宋体" w:hAnsi="宋体" w:eastAsia="宋体" w:cs="宋体"/>
          <w:sz w:val="28"/>
          <w:szCs w:val="28"/>
          <w:highlight w:val="none"/>
        </w:rPr>
      </w:pPr>
    </w:p>
    <w:p>
      <w:pPr>
        <w:rPr>
          <w:rFonts w:ascii="宋体" w:hAnsi="宋体" w:eastAsia="宋体" w:cs="宋体"/>
          <w:szCs w:val="21"/>
          <w:highlight w:val="none"/>
        </w:rPr>
      </w:pPr>
      <w:r>
        <w:rPr>
          <w:rFonts w:hint="eastAsia" w:ascii="宋体" w:hAnsi="宋体" w:eastAsia="宋体" w:cs="Times New Roman"/>
          <w:szCs w:val="21"/>
          <w:highlight w:val="none"/>
        </w:rPr>
        <w:br w:type="page"/>
      </w:r>
      <w:r>
        <w:rPr>
          <w:rFonts w:hint="eastAsia" w:ascii="宋体" w:hAnsi="宋体" w:eastAsia="宋体" w:cs="宋体"/>
          <w:szCs w:val="21"/>
          <w:highlight w:val="none"/>
        </w:rPr>
        <w:t>附表五：</w:t>
      </w:r>
      <w:bookmarkEnd w:id="134"/>
      <w:r>
        <w:rPr>
          <w:rFonts w:hint="eastAsia" w:ascii="宋体" w:hAnsi="宋体" w:eastAsia="宋体" w:cs="宋体"/>
          <w:szCs w:val="21"/>
          <w:highlight w:val="none"/>
        </w:rPr>
        <w:t>投标申请人情况</w:t>
      </w:r>
    </w:p>
    <w:p>
      <w:pPr>
        <w:rPr>
          <w:rFonts w:ascii="宋体" w:hAnsi="宋体" w:eastAsia="宋体" w:cs="宋体"/>
          <w:szCs w:val="21"/>
          <w:highlight w:val="none"/>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劳务分包资质</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劳务分包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投标单位：（盖章）</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法定代表人或委托代理人：（签字）</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日期：年 月 日</w:t>
      </w:r>
    </w:p>
    <w:p>
      <w:pPr>
        <w:rPr>
          <w:rFonts w:ascii="宋体" w:hAnsi="宋体" w:eastAsia="宋体" w:cs="宋体"/>
          <w:sz w:val="28"/>
          <w:szCs w:val="28"/>
          <w:highlight w:val="none"/>
        </w:rPr>
      </w:pPr>
    </w:p>
    <w:p>
      <w:pPr>
        <w:rPr>
          <w:rFonts w:ascii="宋体" w:hAnsi="宋体" w:eastAsia="宋体" w:cs="宋体"/>
          <w:sz w:val="28"/>
          <w:szCs w:val="28"/>
          <w:highlight w:val="none"/>
        </w:rPr>
        <w:sectPr>
          <w:pgSz w:w="11906" w:h="16838"/>
          <w:pgMar w:top="786" w:right="1145" w:bottom="512" w:left="1263" w:header="851" w:footer="992" w:gutter="0"/>
          <w:cols w:space="0" w:num="1"/>
          <w:rtlGutter w:val="0"/>
          <w:docGrid w:type="lines" w:linePitch="312" w:charSpace="0"/>
        </w:sectPr>
      </w:pPr>
    </w:p>
    <w:p>
      <w:pPr>
        <w:rPr>
          <w:rFonts w:hint="eastAsia" w:ascii="宋体" w:hAnsi="宋体"/>
          <w:szCs w:val="21"/>
          <w:highlight w:val="none"/>
        </w:rPr>
      </w:pPr>
    </w:p>
    <w:p>
      <w:pPr>
        <w:rPr>
          <w:rFonts w:ascii="宋体" w:hAnsi="宋体"/>
          <w:szCs w:val="21"/>
          <w:highlight w:val="none"/>
        </w:rPr>
      </w:pPr>
      <w:r>
        <w:rPr>
          <w:rFonts w:hint="eastAsia" w:ascii="宋体" w:hAnsi="宋体"/>
          <w:szCs w:val="21"/>
          <w:highlight w:val="none"/>
        </w:rPr>
        <w:t>附表六：投标报价表</w:t>
      </w:r>
    </w:p>
    <w:p>
      <w:pPr>
        <w:jc w:val="center"/>
        <w:rPr>
          <w:rFonts w:ascii="宋体" w:hAnsi="宋体" w:cs="宋体"/>
          <w:b/>
          <w:bCs/>
          <w:sz w:val="24"/>
          <w:highlight w:val="none"/>
        </w:rPr>
      </w:pPr>
      <w:r>
        <w:rPr>
          <w:rFonts w:hint="eastAsia" w:ascii="宋体" w:hAnsi="宋体" w:cs="宋体"/>
          <w:b/>
          <w:bCs/>
          <w:sz w:val="32"/>
          <w:szCs w:val="32"/>
          <w:highlight w:val="none"/>
          <w:lang w:eastAsia="zh-CN"/>
        </w:rPr>
        <w:t>满洲里国门党建学院二期项目新建楼主体劳务分包</w:t>
      </w: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单</w:t>
      </w:r>
      <w:r>
        <w:rPr>
          <w:rFonts w:hint="eastAsia" w:ascii="宋体" w:hAnsi="宋体" w:cs="宋体"/>
          <w:sz w:val="22"/>
          <w:szCs w:val="22"/>
          <w:highlight w:val="none"/>
          <w:lang w:eastAsia="zh-CN"/>
        </w:rPr>
        <w:t>位</w:t>
      </w:r>
      <w:r>
        <w:rPr>
          <w:rFonts w:hint="eastAsia" w:ascii="宋体" w:hAnsi="宋体" w:cs="宋体"/>
          <w:sz w:val="22"/>
          <w:szCs w:val="22"/>
          <w:highlight w:val="none"/>
        </w:rPr>
        <w:t>：元</w:t>
      </w:r>
    </w:p>
    <w:bookmarkEnd w:id="125"/>
    <w:bookmarkEnd w:id="126"/>
    <w:bookmarkEnd w:id="127"/>
    <w:bookmarkEnd w:id="128"/>
    <w:bookmarkEnd w:id="129"/>
    <w:bookmarkEnd w:id="130"/>
    <w:bookmarkEnd w:id="131"/>
    <w:bookmarkEnd w:id="132"/>
    <w:tbl>
      <w:tblPr>
        <w:tblStyle w:val="13"/>
        <w:tblpPr w:leftFromText="180" w:rightFromText="180" w:vertAnchor="text" w:horzAnchor="page" w:tblpX="398" w:tblpY="524"/>
        <w:tblOverlap w:val="never"/>
        <w:tblW w:w="1589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0"/>
        <w:gridCol w:w="1130"/>
        <w:gridCol w:w="4833"/>
        <w:gridCol w:w="642"/>
        <w:gridCol w:w="927"/>
        <w:gridCol w:w="453"/>
        <w:gridCol w:w="1117"/>
        <w:gridCol w:w="1229"/>
        <w:gridCol w:w="1229"/>
        <w:gridCol w:w="1117"/>
        <w:gridCol w:w="1117"/>
        <w:gridCol w:w="1117"/>
        <w:gridCol w:w="55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420" w:type="dxa"/>
            <w:vMerge w:val="restart"/>
            <w:tcBorders>
              <w:tl2br w:val="nil"/>
              <w:tr2bl w:val="nil"/>
            </w:tcBorders>
            <w:shd w:val="clear" w:color="auto" w:fill="auto"/>
            <w:noWrap w:val="0"/>
            <w:vAlign w:val="center"/>
          </w:tcPr>
          <w:p>
            <w:pPr>
              <w:spacing w:line="120" w:lineRule="auto"/>
              <w:ind w:right="-25"/>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序号</w:t>
            </w:r>
          </w:p>
        </w:tc>
        <w:tc>
          <w:tcPr>
            <w:tcW w:w="1130" w:type="dxa"/>
            <w:vMerge w:val="restart"/>
            <w:tcBorders>
              <w:tl2br w:val="nil"/>
              <w:tr2bl w:val="nil"/>
            </w:tcBorders>
            <w:shd w:val="clear" w:color="auto" w:fill="auto"/>
            <w:noWrap w:val="0"/>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eastAsia="zh-CN"/>
              </w:rPr>
              <w:t>分部分项工程</w:t>
            </w:r>
            <w:r>
              <w:rPr>
                <w:rFonts w:hint="eastAsia" w:ascii="仿宋_GB2312" w:hAnsi="仿宋_GB2312" w:eastAsia="仿宋_GB2312" w:cs="仿宋_GB2312"/>
                <w:b/>
                <w:bCs/>
                <w:szCs w:val="21"/>
                <w:highlight w:val="none"/>
              </w:rPr>
              <w:t>名称</w:t>
            </w:r>
          </w:p>
        </w:tc>
        <w:tc>
          <w:tcPr>
            <w:tcW w:w="4833" w:type="dxa"/>
            <w:vMerge w:val="restart"/>
            <w:tcBorders>
              <w:tl2br w:val="nil"/>
              <w:tr2bl w:val="nil"/>
            </w:tcBorders>
            <w:shd w:val="clear" w:color="auto" w:fill="FFFFFF"/>
            <w:noWrap w:val="0"/>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项目特征及主要工程内容</w:t>
            </w:r>
          </w:p>
        </w:tc>
        <w:tc>
          <w:tcPr>
            <w:tcW w:w="642" w:type="dxa"/>
            <w:vMerge w:val="restart"/>
            <w:tcBorders>
              <w:tl2br w:val="nil"/>
              <w:tr2bl w:val="nil"/>
            </w:tcBorders>
            <w:shd w:val="clear" w:color="auto" w:fill="FFFFFF"/>
            <w:noWrap w:val="0"/>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计量单位</w:t>
            </w:r>
          </w:p>
        </w:tc>
        <w:tc>
          <w:tcPr>
            <w:tcW w:w="927" w:type="dxa"/>
            <w:vMerge w:val="restart"/>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暂定</w:t>
            </w:r>
          </w:p>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工程量</w:t>
            </w:r>
          </w:p>
        </w:tc>
        <w:tc>
          <w:tcPr>
            <w:tcW w:w="453" w:type="dxa"/>
            <w:vMerge w:val="restart"/>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val="en-US" w:eastAsia="zh-CN"/>
              </w:rPr>
              <w:t>税率</w:t>
            </w:r>
          </w:p>
        </w:tc>
        <w:tc>
          <w:tcPr>
            <w:tcW w:w="3575" w:type="dxa"/>
            <w:gridSpan w:val="3"/>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val="en-US" w:eastAsia="zh-CN"/>
              </w:rPr>
              <w:t>限价（元）</w:t>
            </w:r>
          </w:p>
        </w:tc>
        <w:tc>
          <w:tcPr>
            <w:tcW w:w="3351" w:type="dxa"/>
            <w:gridSpan w:val="3"/>
            <w:tcBorders>
              <w:bottom w:val="single" w:color="auto" w:sz="4" w:space="0"/>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val="en-US" w:eastAsia="zh-CN"/>
              </w:rPr>
              <w:t>报价（元）</w:t>
            </w:r>
          </w:p>
        </w:tc>
        <w:tc>
          <w:tcPr>
            <w:tcW w:w="559" w:type="dxa"/>
            <w:vMerge w:val="restart"/>
            <w:tcBorders>
              <w:tl2br w:val="nil"/>
              <w:tr2bl w:val="nil"/>
            </w:tcBorders>
            <w:shd w:val="clear" w:color="auto" w:fill="FFFFFF"/>
            <w:noWrap w:val="0"/>
            <w:vAlign w:val="center"/>
          </w:tcPr>
          <w:p>
            <w:pPr>
              <w:spacing w:line="120" w:lineRule="auto"/>
              <w:ind w:right="399" w:rightChars="0"/>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420" w:type="dxa"/>
            <w:vMerge w:val="continue"/>
            <w:tcBorders>
              <w:tl2br w:val="nil"/>
              <w:tr2bl w:val="nil"/>
            </w:tcBorders>
            <w:shd w:val="clear" w:color="auto" w:fill="auto"/>
            <w:noWrap w:val="0"/>
            <w:vAlign w:val="center"/>
          </w:tcPr>
          <w:p>
            <w:pPr>
              <w:spacing w:line="120" w:lineRule="auto"/>
              <w:ind w:right="-25"/>
              <w:rPr>
                <w:rFonts w:hint="eastAsia" w:ascii="仿宋_GB2312" w:hAnsi="仿宋_GB2312" w:eastAsia="仿宋_GB2312" w:cs="仿宋_GB2312"/>
                <w:b/>
                <w:bCs/>
                <w:szCs w:val="21"/>
                <w:highlight w:val="none"/>
              </w:rPr>
            </w:pPr>
          </w:p>
        </w:tc>
        <w:tc>
          <w:tcPr>
            <w:tcW w:w="1130" w:type="dxa"/>
            <w:vMerge w:val="continue"/>
            <w:tcBorders>
              <w:tl2br w:val="nil"/>
              <w:tr2bl w:val="nil"/>
            </w:tcBorders>
            <w:shd w:val="clear" w:color="auto" w:fill="auto"/>
            <w:noWrap w:val="0"/>
            <w:vAlign w:val="center"/>
          </w:tcPr>
          <w:p>
            <w:pPr>
              <w:spacing w:line="120" w:lineRule="auto"/>
              <w:ind w:right="-25"/>
              <w:jc w:val="center"/>
              <w:rPr>
                <w:rFonts w:hint="eastAsia" w:ascii="仿宋_GB2312" w:hAnsi="仿宋_GB2312" w:eastAsia="仿宋_GB2312" w:cs="仿宋_GB2312"/>
                <w:b/>
                <w:bCs/>
                <w:szCs w:val="21"/>
                <w:highlight w:val="none"/>
              </w:rPr>
            </w:pPr>
          </w:p>
        </w:tc>
        <w:tc>
          <w:tcPr>
            <w:tcW w:w="4833" w:type="dxa"/>
            <w:vMerge w:val="continue"/>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p>
        </w:tc>
        <w:tc>
          <w:tcPr>
            <w:tcW w:w="642" w:type="dxa"/>
            <w:vMerge w:val="continue"/>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p>
        </w:tc>
        <w:tc>
          <w:tcPr>
            <w:tcW w:w="927" w:type="dxa"/>
            <w:vMerge w:val="continue"/>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p>
        </w:tc>
        <w:tc>
          <w:tcPr>
            <w:tcW w:w="453" w:type="dxa"/>
            <w:vMerge w:val="continue"/>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lang w:eastAsia="zh-CN"/>
              </w:rPr>
            </w:pPr>
          </w:p>
        </w:tc>
        <w:tc>
          <w:tcPr>
            <w:tcW w:w="1117" w:type="dxa"/>
            <w:tcBorders>
              <w:top w:val="single" w:color="auto" w:sz="4" w:space="0"/>
              <w:right w:val="single" w:color="auto" w:sz="4" w:space="0"/>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val="en-US" w:eastAsia="zh-CN"/>
              </w:rPr>
              <w:t>税前单价</w:t>
            </w:r>
          </w:p>
        </w:tc>
        <w:tc>
          <w:tcPr>
            <w:tcW w:w="1229" w:type="dxa"/>
            <w:tcBorders>
              <w:top w:val="single" w:color="auto" w:sz="4" w:space="0"/>
              <w:left w:val="single" w:color="auto" w:sz="4" w:space="0"/>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val="en-US" w:eastAsia="zh-CN"/>
              </w:rPr>
              <w:t>税前总价</w:t>
            </w:r>
          </w:p>
        </w:tc>
        <w:tc>
          <w:tcPr>
            <w:tcW w:w="1229" w:type="dxa"/>
            <w:tcBorders>
              <w:top w:val="single" w:color="auto" w:sz="4" w:space="0"/>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lang w:eastAsia="zh-CN"/>
              </w:rPr>
            </w:pPr>
            <w:r>
              <w:rPr>
                <w:rFonts w:hint="eastAsia" w:ascii="仿宋_GB2312" w:hAnsi="仿宋_GB2312" w:eastAsia="仿宋_GB2312" w:cs="仿宋_GB2312"/>
                <w:b/>
                <w:bCs/>
                <w:szCs w:val="21"/>
                <w:highlight w:val="none"/>
                <w:lang w:val="en-US" w:eastAsia="zh-CN"/>
              </w:rPr>
              <w:t>税后总价</w:t>
            </w:r>
          </w:p>
        </w:tc>
        <w:tc>
          <w:tcPr>
            <w:tcW w:w="1117" w:type="dxa"/>
            <w:tcBorders>
              <w:top w:val="single" w:color="auto" w:sz="4" w:space="0"/>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val="en-US" w:eastAsia="zh-CN"/>
              </w:rPr>
              <w:t>税前单价</w:t>
            </w:r>
          </w:p>
        </w:tc>
        <w:tc>
          <w:tcPr>
            <w:tcW w:w="1117" w:type="dxa"/>
            <w:tcBorders>
              <w:top w:val="single" w:color="auto" w:sz="4" w:space="0"/>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val="en-US" w:eastAsia="zh-CN"/>
              </w:rPr>
              <w:t>税前总价</w:t>
            </w:r>
          </w:p>
        </w:tc>
        <w:tc>
          <w:tcPr>
            <w:tcW w:w="1117" w:type="dxa"/>
            <w:tcBorders>
              <w:tl2br w:val="nil"/>
              <w:tr2bl w:val="nil"/>
            </w:tcBorders>
            <w:shd w:val="clear" w:color="auto" w:fill="FFFFFF"/>
            <w:noWrap w:val="0"/>
            <w:vAlign w:val="center"/>
          </w:tcPr>
          <w:p>
            <w:pPr>
              <w:spacing w:line="120" w:lineRule="auto"/>
              <w:ind w:right="-25"/>
              <w:jc w:val="center"/>
              <w:rPr>
                <w:rFonts w:hint="eastAsia"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val="en-US" w:eastAsia="zh-CN"/>
              </w:rPr>
              <w:t>税后总价</w:t>
            </w:r>
          </w:p>
        </w:tc>
        <w:tc>
          <w:tcPr>
            <w:tcW w:w="559" w:type="dxa"/>
            <w:vMerge w:val="continue"/>
            <w:tcBorders>
              <w:tl2br w:val="nil"/>
              <w:tr2bl w:val="nil"/>
            </w:tcBorders>
            <w:shd w:val="clear" w:color="auto" w:fill="FFFFFF"/>
            <w:noWrap w:val="0"/>
            <w:vAlign w:val="center"/>
          </w:tcPr>
          <w:p>
            <w:pPr>
              <w:spacing w:line="120" w:lineRule="auto"/>
              <w:ind w:right="-25"/>
              <w:rPr>
                <w:rFonts w:hint="eastAsia" w:ascii="仿宋_GB2312" w:hAnsi="仿宋_GB2312" w:eastAsia="仿宋_GB2312" w:cs="仿宋_GB2312"/>
                <w:b/>
                <w:bCs/>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80"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钢筋工程-主体结构、二次结构（圈梁、过梁、压顶、构造柱、砌体加筋、屋面造型等）</w:t>
            </w:r>
          </w:p>
        </w:tc>
        <w:tc>
          <w:tcPr>
            <w:tcW w:w="4833"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钢筋制作：工程所需的所有钢筋下车、翻样、下料、解捆、断料、调直、机械连接、攻丝、对焊、电渣压力焊、间隙焊、竖焊、绑扎焊、搭接焊、分类堆码、板凳铁制作等所有钢筋制作内容，场内制作房至堆场的水平运输。</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钢筋安放及绑扎：清料及分类堆码，场内制作房至操作面的水平、垂直运输、清理模内杂物、定位划线等、入模、钢筋安放、按设计要求绑扎成型、安放水平和竖向垫块及预埋铁件、插筋、设置钢筋成品保护措施、板凳铁安放、构造柱及腰带、砌体加固筋等的植筋。配合钢筋的送检取样和制作、配合安装作业；包括本工程施工图所述全部钢筋工程，其中包含但不限于墙柱上面的暖通、人防洞口按施工图纸要求切割出来并按图纸要求设置加强钢筋，现场所有的墙、柱、梁、板以及止水钢板的焊接、按施工图要求设置线盒、洞口、后浇带的加强筋，及楼梯间、集水坑、消防水池钢筋；保证钢筋工程扫描合格，（包括扎丝、图纸及规范要求的墙、柱、梁、板钢筋的垫块，焊药、焊条等材料）主体结构钢筋制作、安装，钢筋调直、植筋、±0以下钢筋搭接及调直；配合放线，配合实验。绑扎前弹线并复核；半成品吊装、堆码及运输；包含但不仅限于：除钢筋、套筒外的所有辅材及用于完成该工作内容的所有机具、器具；安全文明围护、钢筋房搭设、材料场内转运、上下车、集中堆码、清场、成品保护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计算规则：按建筑面积计算。</w:t>
            </w: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m²</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10966.9</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62.00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679947.80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700346.23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59"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930"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模板工程-主体结构</w:t>
            </w:r>
          </w:p>
        </w:tc>
        <w:tc>
          <w:tcPr>
            <w:tcW w:w="4833"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工作内容包含按施工图及项目部要求搭设基础钢筋定位架、支模架，支模架必须按要求搭设剪刀撑及双向扫地杆、制作、安装、拆除所有模板、止水拉片及对拉螺栓安放、砼支撑块及砼垫块安放、设置用于后浇带及隔离高低标号砼防止混标的钢丝网、吊模及吊模定位筋、支撑铁的焊接固定、剔打、天棚打磨、拉杆孔洞用发泡剂填堵。木模阴阳角及接缝处贴双面胶、涂刷隔离剂、选配模、安设粘胶带、塑料泡沫（角模防漏浆用）、清理模内杂物（包括后浇带内的建渣清理）等。加固布料机、安放预埋件、预留孔洞及插筋、浇筑时的值守看模、整个工程天棚(包括楼梯段底部天棚面)和剪力墙墙面必须达到可不作抹灰标准。拆模后对墙面、天棚、楼板拼缝的处理、打磨（达到直接刮腻子标准）。模板制作安装及内架搭拆、刷隔离剂、各种预留、杂物清理、砂浆包墙柱脚等；模板支架的搭设及拆除；标高抄测、放线、分墨弹线、校核尺寸；余料回收、整理、堆码及保管、对拉丝杆的安拆、止水螺杆切割、砼爆模剔打及打磨等；包括但不限于钉子、铁丝、不粘胶、双面胶手提锯、火勾、穿墙PVC管以及水泥内撑等所有耗材。包含但不限于：竹跳板、安全网、料台、对拉丝杆、套管、止水螺杆、步步紧等材料的租赁或采购；材料的运输、堆码、保管及退料；包含但不仅限于：所有辅材及用于完成该工作内容的所有机具、器具；安全文明围护、材料场内转运、上下车、集中堆码、清场、成品保护；1~4层高为4.2m,5层层高为5.7m,如涉及到模板超高，请自行综合考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计算规则：按建筑面积计算。</w:t>
            </w: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m²</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10966.9</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140.00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1535366.00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1581426.98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59"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混凝土工程-主体结构（含屋面造型等一次结构）</w:t>
            </w:r>
          </w:p>
        </w:tc>
        <w:tc>
          <w:tcPr>
            <w:tcW w:w="4833"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浇筑、振捣、拉毛、原浆收面、养护：浇捣范围内所需的临边跑道、放料、制作及安放溜槽；安拆清洗泵管、清补板缝和清理模内杂物、润模、制作、安放垫块；预埋件的安装及保护；浇筑砼时在板筋上层铺设跳板、移泵管，柱、墙、柱脚模板坐浆；砼捣实，原浆收平、覆盖及养护，按设计规定处理好施工缝、后浇带并进行浇筑和按时间规定养护；墙、柱每层剔除浮浆、新旧砼接触面凿毛，配合试验员取样、制作试件；砼散落清理工作。砼浇筑完毕后楼地面场地清洁，每次浇筑完砼后外架硬防护散落的砼及时收拾干净，模板拆除后及时剔打墙柱脚漏浆、清理楼层内的砼建渣（包括外挑架内的渣土清理）并运输到甲方制定堆放地点，砼抹面的观感、平整度、垂直度等达到初装竣工验收标准。建筑主体混凝土现场浇筑、振捣、养护、浮浆剔打、变形缝、后浇带、施工缝的预留清理、止水带安装（不含钢板止水带）、楼面渣子清理、由于机电施工所引起的套管与结构之间的孔洞封堵（套管外封堵）的相关费用、混凝土面凿打及打磨、柱梁砼不同标号分隔安装钢丝网等；包含但不仅限于：除主材外的所有辅材及用于完成该工作内容的所有机具、器具；标高抄测、放线、配合试验、试件取样、实验检测配合、余料收集利用等；安全文明围护、材料场内转运、上下车、集中堆码、清场、成品保护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计算规则：按建筑面积计算。</w:t>
            </w: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m²</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10966.9</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16.00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175470.40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180734.51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59"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脚手架-外架、室内防护</w:t>
            </w:r>
          </w:p>
        </w:tc>
        <w:tc>
          <w:tcPr>
            <w:tcW w:w="4833"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工作内容包括平土、垫板、安底座、立杆、绑扫地杆、绑墙拉结、找平大小横杆、十字拉杆、斜杆、顶撑、剪刀撑、接杆、留门、绑临边防护栏杆、翻铺架板、搭拆竹笆护栏、安全网的挂拆、外架操作层必须设钢丝网、设置安全挡板及踢脚板、搭拆小飞架、挑架、承重转运平台、“四口”（楼梯口、电梯井口、通道口、预留洞口） “五临边”（阳台围边、楼板围边、屋面围边、槽坑围边、卸料平台两侧）的安全防护、水平防护架、垂直防护架、外架封闭所有防护、坑井周边的防护、安全通道、配合门字架、塔吊、施工电梯的平台（含防护门）安拆及防护、临设的防护、楼梯扶手、电梯井道内防护和电梯门的防护、临时用的跑梯、跑道、架子工程用的预埋铁的埋设及拆除、挑架型钢及锚环预埋及拆除、所有相关材料刷油漆，设置固定警戒、清理杂物，拆架后材料分类堆码到指定地点，所需材料场内的全部水平、垂直运输，创建标准文明工地及全面配合满足甲方和业主分包的工程项目施工等全过程，以及防止周材与其它项目周材发生混杂所采取措施而发生的人工费和材料费等。包含但不限于：外架基础找平硬化、架子搭拆、跳板及安全网安拆、钢管刷漆、卸料平台搭拆等；包含但不仅限于：所有辅材及用于完成该工作内容的所有机具、器具；安全文明围护、材料场内转运、上下车、集中堆码、清场、成品保护；架子、防护等安全设施的日常定人巡夜，维护用工。做到工完场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计算规则：按建筑面积计算。</w:t>
            </w: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m²</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10966.9</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438676.00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451836.28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59"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地面-回填地面人工夯实、地面垫层（商混）、地面保温层、地面刚性层（厚度）、防潮层铺设、普通砂浆地面</w:t>
            </w:r>
          </w:p>
        </w:tc>
        <w:tc>
          <w:tcPr>
            <w:tcW w:w="4833"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室内回填区域局部夯实找平、碎石层的摊铺，垫层浇筑、振捣、找平收面，保温板材铺设。地面材料浇筑、抹面、收光、拉毛、养护等工作，刚性层的钢筋制作、绑扎、混凝土浇筑、收面、养护，地面包含但不限于室内装饰饰面砖以下的所有地面做法。</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计算规则：按建筑面积计算。</w:t>
            </w: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m²</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10966.9</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13.00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142569.70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146846.79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59"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6</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砌体工程-井道砌体、厨厕砖砌体、外墙保温砌体、普通隔墙砖砌体、二次结构（含过梁、圈梁、压顶等）</w:t>
            </w:r>
          </w:p>
        </w:tc>
        <w:tc>
          <w:tcPr>
            <w:tcW w:w="4833"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工作内容包括搭设操作脚手架，所需材料的场内水平、垂直运输，砌筑砂浆的搅拌、运输，协助施工人员抄平放线、立皮数杆、挂线、吊直、选砖洒水润湿，砌砖、过梁、构造柱、圈梁、压顶、反坎及模板等；后塞口的预留和填充、按规范和固化图设置构造柱留设马牙槎，墙体拉结筋钻孔、清孔、植筋（含植筋胶），保证抗拔试验合格，清扫墙面及回收利用落地灰。工作面完后楼层的清扫工作，多余材料的转运、拆除操作架、半截砖的利用等，消防、水电安装工程等墙体洞口预留预埋及分包单位洞口的封堵及线槽砼填补工作，做到工完料尽场清。预制构件（过梁、后塞口块等）、现浇过梁、圈梁、反坎、压顶、构造柱等二次结构砼，遇井道需随砌随抹部分已包含在此单价中，不单独计价。含砌体、脚手架门窗造成的洞口封堵、成品门窗塞缝、收边收口及二次找补、内抹灰及挂网、楼地面、屋面及屋面分隔缝、房心回填、压顶、砌体加筋、植筋、收边收口、水池、地沟及设备基础、室外散水以内（包含散水）刚性层、保护层等；包含但不仅限于：除主材外的所有辅材及用于完成该工作内容的所有机具、器具；安全文明围护（含前期砼浮浆剔打）、材料场内转运、上下车、集中堆码、清场、成品保护、建筑垃圾外运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计算规则：按建筑面积计算。</w:t>
            </w: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m²</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10966.9</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68.00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745749.20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768121.68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59"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内抹灰-内墙抹灰、楼梯梯步、屋面女儿墙泛水</w:t>
            </w:r>
          </w:p>
        </w:tc>
        <w:tc>
          <w:tcPr>
            <w:tcW w:w="4833"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砂浆搅拌、场内的水平及垂直运输，墙面天棚的清理，打巴冲筋，浇水湿润，局部剔打，堵眼补洞、门窗洞口收边补缝、梯段抹灰割尺、钉网（不含钢丝网及软网）等，基层（界面）处理、落地灰收集利用。按设计要求遍数进行抹灰、分隔缝的留设、配合安装、消防等所有分包单位进行补洞填槽工作等、清洁卫生等全部工作内容。抹灰前必须做护角，所有抹灰面控制在图纸范围内，当天搅拌的砂浆需在当天用完，严禁浪费材料和使用超过时间限制的砂浆，做到拌多少用多少。做到文明施工、工完场清。包含上述所有工作的人工费、机械费和除砂浆以外的所有材料费，按施工图范围以实际完成且合格的抹灰面积计算。限时整改出现的空鼓、开裂、脱落等质量问题。1、含砌体、脚手架门窗造成的洞口封堵、成品门窗塞缝、收边收口及二次找补、内抹灰及挂网、楼地面、屋面及屋面分隔缝、房心回填、压顶、砌体加筋、植筋、收边收口、水池、地沟及设备基础、室外散水以内（包含散水）刚性层、保护层等；包含但不仅限于：除主材外的所有辅材及用于完成该工作内容的所有机具、器具；安全文明围护（含前期砼浮浆剔打）、材料场内转运、上下车、集中堆码、清场、成品保护、建筑垃圾外运等。</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计算规则：按建筑面积计算。</w:t>
            </w: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m²</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10966.9</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46.00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504477.40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519611.72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59"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8</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屋面工程-找平层、找坡层（厚度综合考虑）、钢性层钢筋、刚性层（厚度）、防水保护层、防水卷材凹槽、屋面保温材料铺设</w:t>
            </w:r>
          </w:p>
        </w:tc>
        <w:tc>
          <w:tcPr>
            <w:tcW w:w="4833"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包含但不限于屋面找平层、找坡层、刚性层以及轻质材料保温层、防水R角抹灰及保护层、卷材凹槽的预留及填补、女儿墙的泛水、鹰嘴滴水、天沟、屋面设备基础、保温板材的铺设、排气管安装、隔离层铺设等。上述工序的搅拌、施工、养护、分缝等工作均含在屋面工程内。屋面包含但不限于按图纸除防水以外的所有工作内容。</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计算规则：按建筑面积计算。</w:t>
            </w: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m²</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10966.9</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87735.20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90367.26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59"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9</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室外工程-室外散水</w:t>
            </w:r>
          </w:p>
        </w:tc>
        <w:tc>
          <w:tcPr>
            <w:tcW w:w="4833"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按图纸工作内容</w:t>
            </w: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m²</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10966.9</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0.80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8773.52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9036.73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59"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10</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安全文明施工</w:t>
            </w:r>
          </w:p>
        </w:tc>
        <w:tc>
          <w:tcPr>
            <w:tcW w:w="4833"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1、包含但不限于：安全文明施工搭设及维护、标识标牌的搭拆及维护、钢筋棚搭拆及维护、防护栏杆搭拆、四口五临边防护、安全通道搭拆、钢管刷漆、提升设备立面防护、进出坡道防护。</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2、包含但不仅限于：所有辅材及用于完成该工作内容的所有机具、器具。</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3、安全文明围护、材料场内转运、上下车、集中堆码、清场、成品保护等。</w:t>
            </w: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m²</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10966.9</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16.00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175470.40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180734.51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p>
        </w:tc>
        <w:tc>
          <w:tcPr>
            <w:tcW w:w="559" w:type="dxa"/>
            <w:tcBorders>
              <w:tl2br w:val="nil"/>
              <w:tr2bl w:val="nil"/>
            </w:tcBorders>
            <w:noWrap w:val="0"/>
            <w:vAlign w:val="center"/>
          </w:tcPr>
          <w:p>
            <w:pPr>
              <w:keepNext w:val="0"/>
              <w:keepLines w:val="0"/>
              <w:widowControl/>
              <w:suppressLineNumbers w:val="0"/>
              <w:jc w:val="center"/>
              <w:textAlignment w:val="center"/>
              <w:rPr>
                <w:rFonts w:ascii="仿宋_GB2312" w:hAnsi="仿宋_GB2312" w:eastAsia="仿宋_GB2312" w:cs="仿宋_GB2312"/>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合同外零星用工-普工</w:t>
            </w:r>
          </w:p>
        </w:tc>
        <w:tc>
          <w:tcPr>
            <w:tcW w:w="4833" w:type="dxa"/>
            <w:tcBorders>
              <w:tl2br w:val="nil"/>
              <w:tr2bl w:val="nil"/>
            </w:tcBorders>
            <w:shd w:val="clear" w:color="auto" w:fill="FFFFFF"/>
            <w:noWrap w:val="0"/>
            <w:vAlign w:val="center"/>
          </w:tcPr>
          <w:p>
            <w:pPr>
              <w:jc w:val="left"/>
              <w:rPr>
                <w:rFonts w:hint="eastAsia" w:ascii="宋体" w:hAnsi="宋体" w:eastAsia="宋体" w:cs="宋体"/>
                <w:i w:val="0"/>
                <w:iCs w:val="0"/>
                <w:color w:val="000000"/>
                <w:sz w:val="16"/>
                <w:szCs w:val="16"/>
                <w:u w:val="none"/>
                <w:lang w:val="en-US" w:eastAsia="zh-CN"/>
              </w:rPr>
            </w:pP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工日</w:t>
            </w:r>
          </w:p>
        </w:tc>
        <w:tc>
          <w:tcPr>
            <w:tcW w:w="927" w:type="dxa"/>
            <w:tcBorders>
              <w:tl2br w:val="nil"/>
              <w:tr2bl w:val="nil"/>
            </w:tcBorders>
            <w:shd w:val="clear" w:color="FFFFFF" w:fill="FFFFFF"/>
            <w:noWrap w:val="0"/>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185.00 </w:t>
            </w:r>
          </w:p>
        </w:tc>
        <w:tc>
          <w:tcPr>
            <w:tcW w:w="1229" w:type="dxa"/>
            <w:tcBorders>
              <w:tl2br w:val="nil"/>
              <w:tr2bl w:val="nil"/>
            </w:tcBorders>
            <w:noWrap w:val="0"/>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1229" w:type="dxa"/>
            <w:tcBorders>
              <w:tl2br w:val="nil"/>
              <w:tr2bl w:val="nil"/>
            </w:tcBorders>
            <w:noWrap w:val="0"/>
            <w:vAlign w:val="center"/>
          </w:tcPr>
          <w:p>
            <w:pPr>
              <w:jc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jc w:val="center"/>
              <w:rPr>
                <w:rFonts w:hint="eastAsia" w:ascii="仿宋_GB2312" w:hAnsi="仿宋_GB2312" w:eastAsia="仿宋_GB2312" w:cs="仿宋_GB2312"/>
                <w:szCs w:val="21"/>
                <w:highlight w:val="none"/>
                <w:lang w:val="en-US" w:eastAsia="zh-CN"/>
              </w:rPr>
            </w:pPr>
            <w:r>
              <w:rPr>
                <w:rFonts w:hint="eastAsia" w:ascii="仿宋" w:hAnsi="仿宋" w:eastAsia="仿宋" w:cs="仿宋"/>
                <w:i w:val="0"/>
                <w:iCs w:val="0"/>
                <w:color w:val="000000"/>
                <w:sz w:val="20"/>
                <w:szCs w:val="20"/>
                <w:u w:val="none"/>
                <w:lang w:val="en-US" w:eastAsia="zh-CN"/>
              </w:rPr>
              <w:t>/</w:t>
            </w:r>
          </w:p>
        </w:tc>
        <w:tc>
          <w:tcPr>
            <w:tcW w:w="1117" w:type="dxa"/>
            <w:tcBorders>
              <w:tl2br w:val="nil"/>
              <w:tr2bl w:val="nil"/>
            </w:tcBorders>
            <w:noWrap w:val="0"/>
            <w:vAlign w:val="center"/>
          </w:tcPr>
          <w:p>
            <w:pPr>
              <w:jc w:val="center"/>
              <w:rPr>
                <w:rFonts w:hint="default" w:ascii="宋体" w:hAnsi="宋体" w:eastAsia="宋体" w:cs="宋体"/>
                <w:i w:val="0"/>
                <w:color w:val="000000"/>
                <w:kern w:val="0"/>
                <w:sz w:val="18"/>
                <w:szCs w:val="18"/>
                <w:u w:val="none"/>
                <w:lang w:val="en-US" w:eastAsia="zh-CN" w:bidi="ar"/>
              </w:rPr>
            </w:pPr>
            <w:r>
              <w:rPr>
                <w:rFonts w:hint="eastAsia" w:ascii="仿宋" w:hAnsi="仿宋" w:eastAsia="仿宋" w:cs="仿宋"/>
                <w:i w:val="0"/>
                <w:iCs w:val="0"/>
                <w:color w:val="000000"/>
                <w:sz w:val="20"/>
                <w:szCs w:val="20"/>
                <w:u w:val="none"/>
                <w:lang w:val="en-US" w:eastAsia="zh-CN"/>
              </w:rPr>
              <w:t>/</w:t>
            </w:r>
          </w:p>
        </w:tc>
        <w:tc>
          <w:tcPr>
            <w:tcW w:w="559"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按实结算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12</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合同外零星用工-技工</w:t>
            </w:r>
          </w:p>
        </w:tc>
        <w:tc>
          <w:tcPr>
            <w:tcW w:w="4833" w:type="dxa"/>
            <w:tcBorders>
              <w:tl2br w:val="nil"/>
              <w:tr2bl w:val="nil"/>
            </w:tcBorders>
            <w:shd w:val="clear" w:color="auto" w:fill="FFFFFF"/>
            <w:noWrap w:val="0"/>
            <w:vAlign w:val="center"/>
          </w:tcPr>
          <w:p>
            <w:pPr>
              <w:jc w:val="left"/>
              <w:rPr>
                <w:rFonts w:hint="eastAsia" w:ascii="宋体" w:hAnsi="宋体" w:eastAsia="宋体" w:cs="宋体"/>
                <w:i w:val="0"/>
                <w:iCs w:val="0"/>
                <w:color w:val="000000"/>
                <w:sz w:val="16"/>
                <w:szCs w:val="16"/>
                <w:u w:val="none"/>
                <w:lang w:val="en-US" w:eastAsia="zh-CN"/>
              </w:rPr>
            </w:pP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工日</w:t>
            </w:r>
          </w:p>
        </w:tc>
        <w:tc>
          <w:tcPr>
            <w:tcW w:w="927" w:type="dxa"/>
            <w:tcBorders>
              <w:tl2br w:val="nil"/>
              <w:tr2bl w:val="nil"/>
            </w:tcBorders>
            <w:shd w:val="clear" w:color="FFFFFF" w:fill="FFFFFF"/>
            <w:noWrap w:val="0"/>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285.00 </w:t>
            </w:r>
          </w:p>
        </w:tc>
        <w:tc>
          <w:tcPr>
            <w:tcW w:w="1229" w:type="dxa"/>
            <w:tcBorders>
              <w:tl2br w:val="nil"/>
              <w:tr2bl w:val="nil"/>
            </w:tcBorders>
            <w:noWrap w:val="0"/>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w:t>
            </w:r>
          </w:p>
        </w:tc>
        <w:tc>
          <w:tcPr>
            <w:tcW w:w="1229" w:type="dxa"/>
            <w:tcBorders>
              <w:tl2br w:val="nil"/>
              <w:tr2bl w:val="nil"/>
            </w:tcBorders>
            <w:noWrap w:val="0"/>
            <w:vAlign w:val="center"/>
          </w:tcPr>
          <w:p>
            <w:pPr>
              <w:jc w:val="center"/>
              <w:rPr>
                <w:rFonts w:hint="default" w:ascii="仿宋" w:hAnsi="仿宋" w:eastAsia="仿宋" w:cs="仿宋"/>
                <w:i w:val="0"/>
                <w:iCs w:val="0"/>
                <w:color w:val="000000"/>
                <w:sz w:val="20"/>
                <w:szCs w:val="20"/>
                <w:u w:val="none"/>
                <w:lang w:val="en-US" w:eastAsia="zh-CN"/>
              </w:rPr>
            </w:pPr>
            <w:r>
              <w:rPr>
                <w:rFonts w:hint="eastAsia" w:ascii="仿宋" w:hAnsi="仿宋" w:eastAsia="仿宋" w:cs="仿宋"/>
                <w:i w:val="0"/>
                <w:iCs w:val="0"/>
                <w:color w:val="000000"/>
                <w:sz w:val="20"/>
                <w:szCs w:val="20"/>
                <w:u w:val="none"/>
                <w:lang w:val="en-US" w:eastAsia="zh-CN"/>
              </w:rPr>
              <w:t>/</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jc w:val="center"/>
              <w:rPr>
                <w:rFonts w:hint="eastAsia" w:ascii="仿宋_GB2312" w:hAnsi="仿宋_GB2312" w:eastAsia="仿宋_GB2312" w:cs="仿宋_GB2312"/>
                <w:szCs w:val="21"/>
                <w:highlight w:val="none"/>
                <w:lang w:val="en-US" w:eastAsia="zh-CN"/>
              </w:rPr>
            </w:pPr>
            <w:r>
              <w:rPr>
                <w:rFonts w:hint="eastAsia" w:ascii="仿宋" w:hAnsi="仿宋" w:eastAsia="仿宋" w:cs="仿宋"/>
                <w:i w:val="0"/>
                <w:iCs w:val="0"/>
                <w:color w:val="000000"/>
                <w:sz w:val="20"/>
                <w:szCs w:val="20"/>
                <w:u w:val="none"/>
                <w:lang w:val="en-US" w:eastAsia="zh-CN"/>
              </w:rPr>
              <w:t>/</w:t>
            </w:r>
          </w:p>
        </w:tc>
        <w:tc>
          <w:tcPr>
            <w:tcW w:w="1117" w:type="dxa"/>
            <w:tcBorders>
              <w:tl2br w:val="nil"/>
              <w:tr2bl w:val="nil"/>
            </w:tcBorders>
            <w:noWrap w:val="0"/>
            <w:vAlign w:val="center"/>
          </w:tcPr>
          <w:p>
            <w:pPr>
              <w:jc w:val="center"/>
              <w:rPr>
                <w:rFonts w:hint="default" w:ascii="宋体" w:hAnsi="宋体" w:eastAsia="宋体" w:cs="宋体"/>
                <w:i w:val="0"/>
                <w:color w:val="000000"/>
                <w:kern w:val="0"/>
                <w:sz w:val="18"/>
                <w:szCs w:val="18"/>
                <w:u w:val="none"/>
                <w:lang w:val="en-US" w:eastAsia="zh-CN" w:bidi="ar"/>
              </w:rPr>
            </w:pPr>
            <w:r>
              <w:rPr>
                <w:rFonts w:hint="eastAsia" w:ascii="仿宋" w:hAnsi="仿宋" w:eastAsia="仿宋" w:cs="仿宋"/>
                <w:i w:val="0"/>
                <w:iCs w:val="0"/>
                <w:color w:val="000000"/>
                <w:sz w:val="20"/>
                <w:szCs w:val="20"/>
                <w:u w:val="none"/>
                <w:lang w:val="en-US" w:eastAsia="zh-CN"/>
              </w:rPr>
              <w:t>/</w:t>
            </w:r>
          </w:p>
        </w:tc>
        <w:tc>
          <w:tcPr>
            <w:tcW w:w="559"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按实结算</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jc w:val="center"/>
              <w:rPr>
                <w:rFonts w:hint="eastAsia" w:ascii="宋体" w:hAnsi="宋体" w:eastAsia="宋体" w:cs="宋体"/>
                <w:i w:val="0"/>
                <w:iCs w:val="0"/>
                <w:color w:val="000000"/>
                <w:sz w:val="16"/>
                <w:szCs w:val="16"/>
                <w:u w:val="none"/>
                <w:lang w:val="en-US" w:eastAsia="zh-CN"/>
              </w:rPr>
            </w:pPr>
          </w:p>
        </w:tc>
        <w:tc>
          <w:tcPr>
            <w:tcW w:w="1130"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2"/>
                <w:sz w:val="18"/>
                <w:szCs w:val="18"/>
                <w:u w:val="none"/>
                <w:lang w:val="en-US" w:eastAsia="zh-CN" w:bidi="ar-SA"/>
              </w:rPr>
            </w:pPr>
            <w:r>
              <w:rPr>
                <w:rFonts w:hint="eastAsia" w:ascii="宋体" w:hAnsi="宋体" w:eastAsia="宋体" w:cs="宋体"/>
                <w:b/>
                <w:bCs/>
                <w:i w:val="0"/>
                <w:iCs w:val="0"/>
                <w:color w:val="000000"/>
                <w:kern w:val="0"/>
                <w:sz w:val="18"/>
                <w:szCs w:val="18"/>
                <w:u w:val="none"/>
                <w:lang w:val="en-US" w:eastAsia="zh-CN" w:bidi="ar"/>
              </w:rPr>
              <w:t>措施及配合费</w:t>
            </w:r>
          </w:p>
        </w:tc>
        <w:tc>
          <w:tcPr>
            <w:tcW w:w="4833" w:type="dxa"/>
            <w:tcBorders>
              <w:tl2br w:val="nil"/>
              <w:tr2bl w:val="nil"/>
            </w:tcBorders>
            <w:shd w:val="clear" w:color="auto" w:fill="FFFFFF"/>
            <w:noWrap w:val="0"/>
            <w:vAlign w:val="center"/>
          </w:tcPr>
          <w:p>
            <w:pPr>
              <w:jc w:val="left"/>
              <w:rPr>
                <w:rFonts w:hint="eastAsia" w:ascii="宋体" w:hAnsi="宋体" w:eastAsia="宋体" w:cs="宋体"/>
                <w:i w:val="0"/>
                <w:iCs w:val="0"/>
                <w:color w:val="000000"/>
                <w:sz w:val="16"/>
                <w:szCs w:val="16"/>
                <w:u w:val="none"/>
                <w:lang w:val="en-US" w:eastAsia="zh-CN"/>
              </w:rPr>
            </w:pPr>
          </w:p>
        </w:tc>
        <w:tc>
          <w:tcPr>
            <w:tcW w:w="642" w:type="dxa"/>
            <w:tcBorders>
              <w:tl2br w:val="nil"/>
              <w:tr2bl w:val="nil"/>
            </w:tcBorders>
            <w:shd w:val="clear" w:color="FFFFFF" w:fill="FFFFFF"/>
            <w:noWrap w:val="0"/>
            <w:vAlign w:val="center"/>
          </w:tcPr>
          <w:p>
            <w:pPr>
              <w:jc w:val="center"/>
              <w:rPr>
                <w:rFonts w:hint="eastAsia" w:ascii="宋体" w:hAnsi="宋体" w:eastAsia="宋体" w:cs="宋体"/>
                <w:i w:val="0"/>
                <w:iCs w:val="0"/>
                <w:color w:val="000000"/>
                <w:sz w:val="20"/>
                <w:szCs w:val="20"/>
                <w:u w:val="none"/>
                <w:lang w:val="en-US" w:eastAsia="zh-CN"/>
              </w:rPr>
            </w:pPr>
          </w:p>
        </w:tc>
        <w:tc>
          <w:tcPr>
            <w:tcW w:w="927" w:type="dxa"/>
            <w:tcBorders>
              <w:tl2br w:val="nil"/>
              <w:tr2bl w:val="nil"/>
            </w:tcBorders>
            <w:shd w:val="clear" w:color="FFFFFF" w:fill="FFFFFF"/>
            <w:noWrap w:val="0"/>
            <w:vAlign w:val="center"/>
          </w:tcPr>
          <w:p>
            <w:pPr>
              <w:jc w:val="center"/>
              <w:rPr>
                <w:rFonts w:hint="eastAsia" w:ascii="宋体" w:hAnsi="宋体" w:eastAsia="宋体" w:cs="宋体"/>
                <w:i w:val="0"/>
                <w:iCs w:val="0"/>
                <w:color w:val="000000"/>
                <w:sz w:val="20"/>
                <w:szCs w:val="20"/>
                <w:u w:val="none"/>
                <w:lang w:val="en-US" w:eastAsia="zh-CN"/>
              </w:rPr>
            </w:pP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29" w:type="dxa"/>
            <w:tcBorders>
              <w:tl2br w:val="nil"/>
              <w:tr2bl w:val="nil"/>
            </w:tcBorders>
            <w:noWrap w:val="0"/>
            <w:vAlign w:val="center"/>
          </w:tcPr>
          <w:p>
            <w:pPr>
              <w:jc w:val="center"/>
              <w:rPr>
                <w:rFonts w:hint="eastAsia" w:ascii="宋体" w:hAnsi="宋体" w:eastAsia="宋体" w:cs="宋体"/>
                <w:i w:val="0"/>
                <w:iCs w:val="0"/>
                <w:color w:val="000000"/>
                <w:sz w:val="20"/>
                <w:szCs w:val="20"/>
                <w:u w:val="none"/>
                <w:lang w:val="en-US" w:eastAsia="zh-CN"/>
              </w:rPr>
            </w:pPr>
          </w:p>
        </w:tc>
        <w:tc>
          <w:tcPr>
            <w:tcW w:w="1229"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559"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非专业分包范围内管线安拆运维</w:t>
            </w:r>
          </w:p>
        </w:tc>
        <w:tc>
          <w:tcPr>
            <w:tcW w:w="4833"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10966.9</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109669.00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112959.07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559"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建筑垃圾清理</w:t>
            </w:r>
          </w:p>
        </w:tc>
        <w:tc>
          <w:tcPr>
            <w:tcW w:w="4833"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1.建筑垃圾清理</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2.建筑垃圾运至地面指定位置</w:t>
            </w: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10966.9</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43867.60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45183.63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559"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建筑垃圾外运</w:t>
            </w:r>
          </w:p>
        </w:tc>
        <w:tc>
          <w:tcPr>
            <w:tcW w:w="4833"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1.建筑垃圾上车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2.场外运输至渣场(含渣场费)</w:t>
            </w: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1024</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81920.00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84377.60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559"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开荒清洁</w:t>
            </w:r>
          </w:p>
        </w:tc>
        <w:tc>
          <w:tcPr>
            <w:tcW w:w="4833"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1.工程预验收前的开荒清洁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2.消防验收前的开荒清洁</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3.竣工验收前的开荒清洁</w:t>
            </w: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10966.9</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54834.50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56479.54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559"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场区材料转运</w:t>
            </w:r>
          </w:p>
        </w:tc>
        <w:tc>
          <w:tcPr>
            <w:tcW w:w="4833"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场区材料设备二次、多次及汽车运不到的转运</w:t>
            </w: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10966.9</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197404.20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203326.33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559"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现场临时绿化费用</w:t>
            </w:r>
          </w:p>
        </w:tc>
        <w:tc>
          <w:tcPr>
            <w:tcW w:w="4833"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52000.00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52000.00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53560.00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559"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安全生产培训、教育、宣传费用</w:t>
            </w:r>
          </w:p>
        </w:tc>
        <w:tc>
          <w:tcPr>
            <w:tcW w:w="4833"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102000.00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102000.00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105060.00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559"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施工范围内建筑物沿外边起50m外的（供）排水管道（沟）、供电管线等设施搭设、维修、拆除、清理和推销等费用</w:t>
            </w:r>
          </w:p>
        </w:tc>
        <w:tc>
          <w:tcPr>
            <w:tcW w:w="4833"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122000.00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122000.00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125660.00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559"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9</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应急演练费用及维护、保养应急救援器材、设备费用</w:t>
            </w:r>
          </w:p>
        </w:tc>
        <w:tc>
          <w:tcPr>
            <w:tcW w:w="4833"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51000.00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51000.00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52530.00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559"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安全文明施工标志及标牌等安装费用</w:t>
            </w:r>
          </w:p>
        </w:tc>
        <w:tc>
          <w:tcPr>
            <w:tcW w:w="4833"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51000.00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51000.00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52530.00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559"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临时围挡墙面的美化（内空抹灰、刷白、标语、彩绘等）、维护、保洁费用</w:t>
            </w:r>
          </w:p>
        </w:tc>
        <w:tc>
          <w:tcPr>
            <w:tcW w:w="4833"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102000.00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102000.00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105060.00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559"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现场出入口、施工操作场地清运、弃渣</w:t>
            </w:r>
          </w:p>
        </w:tc>
        <w:tc>
          <w:tcPr>
            <w:tcW w:w="4833"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21000.00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21000.00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21630.00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559"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车辆冲洗费用及保洁费用</w:t>
            </w:r>
          </w:p>
        </w:tc>
        <w:tc>
          <w:tcPr>
            <w:tcW w:w="4833"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元/月</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12500.00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150000.00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154500.00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559"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控制扬尘、噪音费用、临时设施保温、隔热措施费用</w:t>
            </w:r>
          </w:p>
        </w:tc>
        <w:tc>
          <w:tcPr>
            <w:tcW w:w="4833"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245000.00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245000.00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252350.00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559"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生活垃圾外运（垃圾箱）</w:t>
            </w:r>
          </w:p>
        </w:tc>
        <w:tc>
          <w:tcPr>
            <w:tcW w:w="4833"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元/月</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26400.00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27192.00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559"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红线外成品保护</w:t>
            </w:r>
          </w:p>
        </w:tc>
        <w:tc>
          <w:tcPr>
            <w:tcW w:w="4833"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185000.00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185000.00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190550.00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559"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20" w:type="dxa"/>
            <w:tcBorders>
              <w:tl2br w:val="nil"/>
              <w:tr2bl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w:t>
            </w:r>
          </w:p>
        </w:tc>
        <w:tc>
          <w:tcPr>
            <w:tcW w:w="1130" w:type="dxa"/>
            <w:tcBorders>
              <w:tl2br w:val="nil"/>
              <w:tr2bl w:val="nil"/>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业主党建工作标识、标牌等安装费用</w:t>
            </w:r>
          </w:p>
        </w:tc>
        <w:tc>
          <w:tcPr>
            <w:tcW w:w="4833" w:type="dxa"/>
            <w:tcBorders>
              <w:tl2br w:val="nil"/>
              <w:tr2bl w:val="nil"/>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c>
          <w:tcPr>
            <w:tcW w:w="642"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项</w:t>
            </w:r>
          </w:p>
        </w:tc>
        <w:tc>
          <w:tcPr>
            <w:tcW w:w="927" w:type="dxa"/>
            <w:tcBorders>
              <w:tl2br w:val="nil"/>
              <w:tr2bl w:val="nil"/>
            </w:tcBorders>
            <w:shd w:val="clear" w:color="FFFFFF"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453"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117"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51000.00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51000.00 </w:t>
            </w:r>
          </w:p>
        </w:tc>
        <w:tc>
          <w:tcPr>
            <w:tcW w:w="1229" w:type="dxa"/>
            <w:tcBorders>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52530.00 </w:t>
            </w:r>
          </w:p>
        </w:tc>
        <w:tc>
          <w:tcPr>
            <w:tcW w:w="1117" w:type="dxa"/>
            <w:tcBorders>
              <w:tl2br w:val="nil"/>
              <w:tr2bl w:val="nil"/>
            </w:tcBorders>
            <w:noWrap w:val="0"/>
            <w:vAlign w:val="center"/>
          </w:tcPr>
          <w:p>
            <w:pPr>
              <w:spacing w:line="120" w:lineRule="auto"/>
              <w:ind w:right="-25"/>
              <w:jc w:val="left"/>
              <w:rPr>
                <w:rFonts w:ascii="仿宋_GB2312" w:hAnsi="仿宋_GB2312" w:eastAsia="仿宋_GB2312" w:cs="仿宋_GB2312"/>
                <w:szCs w:val="21"/>
                <w:highlight w:val="none"/>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1117" w:type="dxa"/>
            <w:tcBorders>
              <w:tl2br w:val="nil"/>
              <w:tr2bl w:val="nil"/>
            </w:tcBorders>
            <w:noWrap w:val="0"/>
            <w:vAlign w:val="center"/>
          </w:tcPr>
          <w:p>
            <w:pPr>
              <w:jc w:val="center"/>
              <w:rPr>
                <w:rFonts w:hint="eastAsia" w:ascii="仿宋" w:hAnsi="仿宋" w:eastAsia="仿宋" w:cs="仿宋"/>
                <w:i w:val="0"/>
                <w:iCs w:val="0"/>
                <w:color w:val="000000"/>
                <w:sz w:val="20"/>
                <w:szCs w:val="20"/>
                <w:u w:val="none"/>
                <w:lang w:val="en-US" w:eastAsia="zh-CN"/>
              </w:rPr>
            </w:pPr>
          </w:p>
        </w:tc>
        <w:tc>
          <w:tcPr>
            <w:tcW w:w="559" w:type="dxa"/>
            <w:tcBorders>
              <w:tl2br w:val="nil"/>
              <w:tr2bl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6"/>
                <w:szCs w:val="16"/>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8405" w:type="dxa"/>
            <w:gridSpan w:val="6"/>
            <w:tcBorders>
              <w:right w:val="single" w:color="auto" w:sz="4" w:space="0"/>
              <w:tl2br w:val="nil"/>
              <w:tr2bl w:val="nil"/>
            </w:tcBorders>
            <w:noWrap w:val="0"/>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kern w:val="0"/>
                <w:szCs w:val="21"/>
                <w:highlight w:val="none"/>
              </w:rPr>
              <w:t xml:space="preserve">    合计（元）</w:t>
            </w:r>
          </w:p>
        </w:tc>
        <w:tc>
          <w:tcPr>
            <w:tcW w:w="3575" w:type="dxa"/>
            <w:gridSpan w:val="3"/>
            <w:tcBorders>
              <w:left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 xml:space="preserve">6324540.85 </w:t>
            </w:r>
          </w:p>
        </w:tc>
        <w:tc>
          <w:tcPr>
            <w:tcW w:w="3351" w:type="dxa"/>
            <w:gridSpan w:val="3"/>
            <w:tcBorders>
              <w:left w:val="single" w:color="auto" w:sz="4" w:space="0"/>
              <w:tl2br w:val="nil"/>
              <w:tr2bl w:val="nil"/>
            </w:tcBorders>
            <w:noWrap w:val="0"/>
            <w:vAlign w:val="center"/>
          </w:tcPr>
          <w:p>
            <w:pPr>
              <w:keepNext w:val="0"/>
              <w:keepLines w:val="0"/>
              <w:widowControl/>
              <w:suppressLineNumbers w:val="0"/>
              <w:jc w:val="center"/>
              <w:textAlignment w:val="center"/>
              <w:rPr>
                <w:rFonts w:ascii="仿宋" w:hAnsi="仿宋" w:eastAsia="仿宋" w:cs="仿宋"/>
                <w:i w:val="0"/>
                <w:iCs w:val="0"/>
                <w:color w:val="000000"/>
                <w:kern w:val="2"/>
                <w:sz w:val="20"/>
                <w:szCs w:val="20"/>
                <w:u w:val="none"/>
                <w:lang w:val="en-US" w:eastAsia="zh-CN" w:bidi="ar-SA"/>
              </w:rPr>
            </w:pPr>
          </w:p>
        </w:tc>
        <w:tc>
          <w:tcPr>
            <w:tcW w:w="559" w:type="dxa"/>
            <w:tcBorders>
              <w:tl2br w:val="nil"/>
              <w:tr2bl w:val="nil"/>
            </w:tcBorders>
            <w:noWrap w:val="0"/>
            <w:vAlign w:val="top"/>
          </w:tcPr>
          <w:p>
            <w:pPr>
              <w:jc w:val="center"/>
              <w:rPr>
                <w:rFonts w:ascii="仿宋_GB2312" w:hAnsi="仿宋_GB2312" w:eastAsia="仿宋_GB2312" w:cs="仿宋_GB2312"/>
                <w:b/>
                <w:bCs/>
                <w:szCs w:val="21"/>
                <w:highlight w:val="none"/>
              </w:rPr>
            </w:pPr>
          </w:p>
        </w:tc>
      </w:tr>
    </w:tbl>
    <w:p>
      <w:pPr>
        <w:jc w:val="left"/>
        <w:rPr>
          <w:rFonts w:hint="eastAsia" w:ascii="宋体" w:hAnsi="宋体"/>
          <w:sz w:val="21"/>
          <w:szCs w:val="21"/>
          <w:highlight w:val="none"/>
        </w:rPr>
      </w:pPr>
      <w:r>
        <w:rPr>
          <w:rFonts w:hint="eastAsia" w:ascii="宋体" w:hAnsi="宋体"/>
          <w:sz w:val="21"/>
          <w:szCs w:val="21"/>
          <w:highlight w:val="none"/>
        </w:rPr>
        <w:t>说明：1.以上含税单价均为包干价，其价格含人工费、管理费和利润、税金(3%)等全部费用。</w:t>
      </w:r>
    </w:p>
    <w:p>
      <w:pPr>
        <w:jc w:val="left"/>
        <w:rPr>
          <w:rFonts w:hint="eastAsia" w:ascii="宋体" w:hAnsi="宋体"/>
          <w:sz w:val="28"/>
          <w:szCs w:val="28"/>
          <w:highlight w:val="none"/>
        </w:rPr>
      </w:pPr>
      <w:r>
        <w:rPr>
          <w:rFonts w:hint="eastAsia" w:ascii="宋体" w:hAnsi="宋体"/>
          <w:sz w:val="21"/>
          <w:szCs w:val="21"/>
          <w:highlight w:val="none"/>
        </w:rPr>
        <w:t xml:space="preserve">      2.建筑面积按内蒙17定额计算规则计算，扣除外墙保温厚度面积,图纸标注建筑面积：10966.9m2。</w:t>
      </w:r>
    </w:p>
    <w:p>
      <w:pPr>
        <w:ind w:firstLine="3640" w:firstLineChars="1300"/>
        <w:rPr>
          <w:rFonts w:hint="eastAsia" w:ascii="宋体" w:hAnsi="宋体"/>
          <w:sz w:val="28"/>
          <w:szCs w:val="28"/>
          <w:highlight w:val="none"/>
        </w:rPr>
      </w:pPr>
    </w:p>
    <w:p>
      <w:pPr>
        <w:ind w:left="0" w:leftChars="0" w:firstLine="7918" w:firstLineChars="2828"/>
        <w:rPr>
          <w:rFonts w:ascii="宋体" w:hAnsi="宋体"/>
          <w:sz w:val="28"/>
          <w:szCs w:val="28"/>
          <w:highlight w:val="none"/>
        </w:rPr>
      </w:pPr>
      <w:r>
        <w:rPr>
          <w:rFonts w:hint="eastAsia" w:ascii="宋体" w:hAnsi="宋体"/>
          <w:sz w:val="28"/>
          <w:szCs w:val="28"/>
          <w:highlight w:val="none"/>
        </w:rPr>
        <w:t>投标单位：</w:t>
      </w:r>
      <w:r>
        <w:rPr>
          <w:rFonts w:hint="eastAsia" w:ascii="宋体" w:hAnsi="宋体"/>
          <w:sz w:val="28"/>
          <w:szCs w:val="28"/>
          <w:highlight w:val="none"/>
          <w:lang w:val="en-US" w:eastAsia="zh-CN"/>
        </w:rPr>
        <w:t xml:space="preserve">               </w:t>
      </w:r>
      <w:r>
        <w:rPr>
          <w:rFonts w:hint="eastAsia" w:ascii="宋体" w:hAnsi="宋体"/>
          <w:sz w:val="28"/>
          <w:szCs w:val="28"/>
          <w:highlight w:val="none"/>
        </w:rPr>
        <w:t>（盖章）</w:t>
      </w:r>
    </w:p>
    <w:p>
      <w:pPr>
        <w:ind w:left="0" w:leftChars="0" w:firstLine="7918" w:firstLineChars="2828"/>
        <w:rPr>
          <w:rFonts w:ascii="宋体" w:hAnsi="宋体"/>
          <w:sz w:val="28"/>
          <w:szCs w:val="28"/>
          <w:highlight w:val="none"/>
        </w:rPr>
      </w:pPr>
      <w:r>
        <w:rPr>
          <w:rFonts w:hint="eastAsia" w:ascii="宋体" w:hAnsi="宋体"/>
          <w:sz w:val="28"/>
          <w:szCs w:val="28"/>
          <w:highlight w:val="none"/>
        </w:rPr>
        <w:t>法定代表人或委托代理人：</w:t>
      </w:r>
      <w:r>
        <w:rPr>
          <w:rFonts w:hint="eastAsia" w:ascii="宋体" w:hAnsi="宋体"/>
          <w:sz w:val="28"/>
          <w:szCs w:val="28"/>
          <w:highlight w:val="none"/>
          <w:lang w:val="en-US" w:eastAsia="zh-CN"/>
        </w:rPr>
        <w:t xml:space="preserve">            </w:t>
      </w:r>
      <w:r>
        <w:rPr>
          <w:rFonts w:hint="eastAsia" w:ascii="宋体" w:hAnsi="宋体"/>
          <w:sz w:val="28"/>
          <w:szCs w:val="28"/>
          <w:highlight w:val="none"/>
        </w:rPr>
        <w:t>（签字）</w:t>
      </w:r>
    </w:p>
    <w:p>
      <w:pPr>
        <w:widowControl w:val="0"/>
        <w:ind w:left="0" w:leftChars="0" w:firstLine="7918" w:firstLineChars="2828"/>
        <w:jc w:val="both"/>
        <w:rPr>
          <w:rFonts w:ascii="宋体" w:hAnsi="宋体" w:eastAsia="宋体" w:cs="Times New Roman"/>
          <w:szCs w:val="21"/>
          <w:highlight w:val="none"/>
        </w:rPr>
        <w:sectPr>
          <w:pgSz w:w="16838" w:h="11906" w:orient="landscape"/>
          <w:pgMar w:top="935" w:right="1440" w:bottom="691" w:left="1440" w:header="851" w:footer="992" w:gutter="0"/>
          <w:cols w:space="425" w:num="1"/>
          <w:docGrid w:type="lines" w:linePitch="312" w:charSpace="0"/>
        </w:sectPr>
      </w:pPr>
      <w:r>
        <w:rPr>
          <w:rFonts w:hint="eastAsia" w:ascii="宋体" w:hAnsi="宋体"/>
          <w:sz w:val="28"/>
          <w:szCs w:val="28"/>
          <w:highlight w:val="none"/>
        </w:rPr>
        <w:t>日期：    年    月    日</w:t>
      </w:r>
    </w:p>
    <w:p>
      <w:pPr>
        <w:widowControl/>
        <w:jc w:val="left"/>
        <w:rPr>
          <w:b/>
          <w:bCs/>
          <w:sz w:val="30"/>
          <w:szCs w:val="30"/>
          <w:highlight w:val="none"/>
        </w:rPr>
      </w:pPr>
      <w:r>
        <w:rPr>
          <w:rFonts w:hint="eastAsia"/>
          <w:b/>
          <w:bCs/>
          <w:sz w:val="30"/>
          <w:szCs w:val="30"/>
          <w:highlight w:val="none"/>
        </w:rPr>
        <w:t>投标文件袋封面格式</w:t>
      </w:r>
    </w:p>
    <w:p>
      <w:pPr>
        <w:spacing w:line="560" w:lineRule="exact"/>
        <w:jc w:val="center"/>
        <w:rPr>
          <w:rFonts w:hint="eastAsia" w:ascii="Calibri" w:hAnsi="Calibri" w:eastAsia="宋体" w:cs="宋体"/>
          <w:b/>
          <w:bCs/>
          <w:w w:val="90"/>
          <w:sz w:val="44"/>
          <w:szCs w:val="44"/>
          <w:highlight w:val="none"/>
          <w:lang w:val="en-US" w:eastAsia="zh-CN"/>
        </w:rPr>
      </w:pPr>
      <w:r>
        <w:rPr>
          <w:rFonts w:hint="eastAsia" w:ascii="Calibri" w:hAnsi="Calibri" w:eastAsia="宋体" w:cs="宋体"/>
          <w:b/>
          <w:bCs/>
          <w:w w:val="90"/>
          <w:sz w:val="44"/>
          <w:szCs w:val="44"/>
          <w:highlight w:val="none"/>
          <w:lang w:val="en-US" w:eastAsia="zh-CN"/>
        </w:rPr>
        <w:t>满洲里国门党建学院二期项目新建楼主体劳务分包</w:t>
      </w:r>
    </w:p>
    <w:p>
      <w:pPr>
        <w:spacing w:line="560" w:lineRule="exact"/>
        <w:jc w:val="center"/>
        <w:rPr>
          <w:rFonts w:ascii="Calibri" w:hAnsi="Calibri" w:eastAsia="宋体" w:cs="宋体"/>
          <w:b/>
          <w:bCs/>
          <w:w w:val="90"/>
          <w:sz w:val="44"/>
          <w:szCs w:val="44"/>
          <w:highlight w:val="none"/>
        </w:rPr>
      </w:pPr>
      <w:r>
        <w:rPr>
          <w:rFonts w:hint="eastAsia" w:ascii="Calibri" w:hAnsi="Calibri" w:eastAsia="宋体" w:cs="宋体"/>
          <w:b/>
          <w:bCs/>
          <w:w w:val="90"/>
          <w:sz w:val="44"/>
          <w:szCs w:val="44"/>
          <w:highlight w:val="none"/>
          <w:lang w:eastAsia="zh-CN"/>
        </w:rPr>
        <w:t>单位招采</w:t>
      </w:r>
    </w:p>
    <w:p>
      <w:pPr>
        <w:spacing w:line="560" w:lineRule="exact"/>
        <w:jc w:val="center"/>
        <w:rPr>
          <w:b/>
          <w:sz w:val="36"/>
          <w:szCs w:val="36"/>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lang w:eastAsia="zh-CN"/>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w:t>
      </w:r>
      <w:r>
        <w:rPr>
          <w:rFonts w:hint="eastAsia" w:ascii="Calibri" w:hAnsi="Calibri" w:eastAsia="宋体" w:cs="宋体"/>
          <w:b/>
          <w:sz w:val="32"/>
          <w:szCs w:val="32"/>
          <w:highlight w:val="none"/>
          <w:u w:val="single"/>
          <w:lang w:val="en-US" w:eastAsia="zh-CN"/>
        </w:rPr>
        <w:t xml:space="preserve">  2021-02-001    </w:t>
      </w:r>
    </w:p>
    <w:p>
      <w:pPr>
        <w:spacing w:line="560" w:lineRule="exact"/>
        <w:jc w:val="both"/>
        <w:rPr>
          <w:rFonts w:hint="eastAsia" w:ascii="Calibri" w:hAnsi="Calibri" w:eastAsia="宋体" w:cs="宋体"/>
          <w:b/>
          <w:sz w:val="32"/>
          <w:szCs w:val="32"/>
          <w:highlight w:val="none"/>
        </w:rPr>
      </w:pP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Pr>
        <w:rPr>
          <w:highlight w:val="none"/>
        </w:rPr>
      </w:pPr>
    </w:p>
    <w:sectPr>
      <w:pgSz w:w="11906" w:h="16838"/>
      <w:pgMar w:top="1440" w:right="1135" w:bottom="144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CbgB3qtgEAAFUDAAAOAAAAAAAAAAEAIAAAACIBAABkcnMvZTJvRG9jLnhtbFBLBQYAAAAABgAG&#10;AFkBAABKBQAAAAA=&#10;">
          <v:path/>
          <v:fill on="f" focussize="0,0"/>
          <v:stroke on="f" weight="1.25pt"/>
          <v:imagedata o:title=""/>
          <o:lock v:ext="edit" aspectratio="f"/>
          <v:textbox inset="0mm,0mm,0mm,0mm" style="mso-fit-shape-to-text:t;">
            <w:txbxContent>
              <w:p>
                <w:pPr>
                  <w:pStyle w:val="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r>
                  <w:rPr>
                    <w:rFonts w:hint="eastAsia"/>
                  </w:rPr>
                  <w:t xml:space="preserve"> 页 共 24页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C7998A"/>
    <w:multiLevelType w:val="singleLevel"/>
    <w:tmpl w:val="B7C7998A"/>
    <w:lvl w:ilvl="0" w:tentative="0">
      <w:start w:val="2"/>
      <w:numFmt w:val="decimal"/>
      <w:lvlText w:val="%1."/>
      <w:lvlJc w:val="left"/>
      <w:pPr>
        <w:tabs>
          <w:tab w:val="left" w:pos="312"/>
        </w:tabs>
      </w:pPr>
    </w:lvl>
  </w:abstractNum>
  <w:abstractNum w:abstractNumId="1">
    <w:nsid w:val="04223B1A"/>
    <w:multiLevelType w:val="singleLevel"/>
    <w:tmpl w:val="04223B1A"/>
    <w:lvl w:ilvl="0" w:tentative="0">
      <w:start w:val="1"/>
      <w:numFmt w:val="decimal"/>
      <w:suff w:val="nothing"/>
      <w:lvlText w:val="（%1）"/>
      <w:lvlJc w:val="left"/>
    </w:lvl>
  </w:abstractNum>
  <w:abstractNum w:abstractNumId="2">
    <w:nsid w:val="07DC812A"/>
    <w:multiLevelType w:val="singleLevel"/>
    <w:tmpl w:val="07DC812A"/>
    <w:lvl w:ilvl="0" w:tentative="0">
      <w:start w:val="1"/>
      <w:numFmt w:val="decimal"/>
      <w:suff w:val="nothing"/>
      <w:lvlText w:val="（%1）"/>
      <w:lvlJc w:val="left"/>
    </w:lvl>
  </w:abstractNum>
  <w:abstractNum w:abstractNumId="3">
    <w:nsid w:val="208BCAE6"/>
    <w:multiLevelType w:val="singleLevel"/>
    <w:tmpl w:val="208BCAE6"/>
    <w:lvl w:ilvl="0" w:tentative="0">
      <w:start w:val="1"/>
      <w:numFmt w:val="decimal"/>
      <w:lvlText w:val="%1."/>
      <w:lvlJc w:val="left"/>
      <w:pPr>
        <w:tabs>
          <w:tab w:val="left" w:pos="312"/>
        </w:tabs>
      </w:pPr>
    </w:lvl>
  </w:abstractNum>
  <w:abstractNum w:abstractNumId="4">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AB2219C"/>
    <w:multiLevelType w:val="singleLevel"/>
    <w:tmpl w:val="5AB2219C"/>
    <w:lvl w:ilvl="0" w:tentative="0">
      <w:start w:val="27"/>
      <w:numFmt w:val="decimal"/>
      <w:suff w:val="nothing"/>
      <w:lvlText w:val="%1."/>
      <w:lvlJc w:val="left"/>
    </w:lvl>
  </w:abstractNum>
  <w:abstractNum w:abstractNumId="6">
    <w:nsid w:val="684883B4"/>
    <w:multiLevelType w:val="singleLevel"/>
    <w:tmpl w:val="684883B4"/>
    <w:lvl w:ilvl="0" w:tentative="0">
      <w:start w:val="2"/>
      <w:numFmt w:val="chineseCounting"/>
      <w:suff w:val="space"/>
      <w:lvlText w:val="第%1条"/>
      <w:lvlJc w:val="left"/>
      <w:rPr>
        <w:rFonts w:hint="eastAsia"/>
      </w:rPr>
    </w:lvl>
  </w:abstractNum>
  <w:num w:numId="1">
    <w:abstractNumId w:val="4"/>
  </w:num>
  <w:num w:numId="2">
    <w:abstractNumId w:val="3"/>
  </w:num>
  <w:num w:numId="3">
    <w:abstractNumId w:val="5"/>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769DA"/>
    <w:rsid w:val="00D970BD"/>
    <w:rsid w:val="00DA48B9"/>
    <w:rsid w:val="00DA6130"/>
    <w:rsid w:val="00DF68DB"/>
    <w:rsid w:val="00E00EAB"/>
    <w:rsid w:val="00E07EFA"/>
    <w:rsid w:val="00E347DE"/>
    <w:rsid w:val="00E65BFE"/>
    <w:rsid w:val="00F015DD"/>
    <w:rsid w:val="00F61741"/>
    <w:rsid w:val="00F964A5"/>
    <w:rsid w:val="00FA3A2C"/>
    <w:rsid w:val="00FF1813"/>
    <w:rsid w:val="00FF5F88"/>
    <w:rsid w:val="0331682D"/>
    <w:rsid w:val="03643C29"/>
    <w:rsid w:val="042C5173"/>
    <w:rsid w:val="067213E3"/>
    <w:rsid w:val="06C00978"/>
    <w:rsid w:val="07551FF2"/>
    <w:rsid w:val="080747BF"/>
    <w:rsid w:val="09ED6CD8"/>
    <w:rsid w:val="0A5160E5"/>
    <w:rsid w:val="0A857FDE"/>
    <w:rsid w:val="0AF86923"/>
    <w:rsid w:val="0C7D0BA0"/>
    <w:rsid w:val="0EEE1C77"/>
    <w:rsid w:val="0F883FCB"/>
    <w:rsid w:val="0F897A30"/>
    <w:rsid w:val="0F8C5DFC"/>
    <w:rsid w:val="119C0C20"/>
    <w:rsid w:val="119C329D"/>
    <w:rsid w:val="123F3062"/>
    <w:rsid w:val="12930DAE"/>
    <w:rsid w:val="12C216A0"/>
    <w:rsid w:val="13135F99"/>
    <w:rsid w:val="13C958EC"/>
    <w:rsid w:val="15905B94"/>
    <w:rsid w:val="15977186"/>
    <w:rsid w:val="159E581C"/>
    <w:rsid w:val="15E36240"/>
    <w:rsid w:val="16411650"/>
    <w:rsid w:val="179F23F1"/>
    <w:rsid w:val="18B1176E"/>
    <w:rsid w:val="18E810AC"/>
    <w:rsid w:val="1B993684"/>
    <w:rsid w:val="1BCD74AD"/>
    <w:rsid w:val="1BD91C91"/>
    <w:rsid w:val="1CA26100"/>
    <w:rsid w:val="1DE9282D"/>
    <w:rsid w:val="1E116E3D"/>
    <w:rsid w:val="1E5A2354"/>
    <w:rsid w:val="217F0B1B"/>
    <w:rsid w:val="220B5951"/>
    <w:rsid w:val="22564BEA"/>
    <w:rsid w:val="22602402"/>
    <w:rsid w:val="230D5302"/>
    <w:rsid w:val="23125D7D"/>
    <w:rsid w:val="23B57168"/>
    <w:rsid w:val="23E30653"/>
    <w:rsid w:val="248D3585"/>
    <w:rsid w:val="24E71476"/>
    <w:rsid w:val="2519272F"/>
    <w:rsid w:val="253321E3"/>
    <w:rsid w:val="27AD2F6E"/>
    <w:rsid w:val="27E93EC6"/>
    <w:rsid w:val="2938393D"/>
    <w:rsid w:val="29533DC6"/>
    <w:rsid w:val="295A7629"/>
    <w:rsid w:val="29E32F40"/>
    <w:rsid w:val="2B8C3BFA"/>
    <w:rsid w:val="2BA171BA"/>
    <w:rsid w:val="2D517F39"/>
    <w:rsid w:val="2D924373"/>
    <w:rsid w:val="2DDD7594"/>
    <w:rsid w:val="319E25EA"/>
    <w:rsid w:val="31F177B0"/>
    <w:rsid w:val="31F82477"/>
    <w:rsid w:val="32B66750"/>
    <w:rsid w:val="33FD1BE6"/>
    <w:rsid w:val="35BD194F"/>
    <w:rsid w:val="36C764F5"/>
    <w:rsid w:val="3A1E0E6E"/>
    <w:rsid w:val="3A367996"/>
    <w:rsid w:val="3A510B03"/>
    <w:rsid w:val="3A8C5BF7"/>
    <w:rsid w:val="3A944FC6"/>
    <w:rsid w:val="3AFC5472"/>
    <w:rsid w:val="3D6F1491"/>
    <w:rsid w:val="3D9A74CB"/>
    <w:rsid w:val="41DF3752"/>
    <w:rsid w:val="42B3753D"/>
    <w:rsid w:val="445653C0"/>
    <w:rsid w:val="44DA6037"/>
    <w:rsid w:val="44DF244D"/>
    <w:rsid w:val="45375669"/>
    <w:rsid w:val="46977388"/>
    <w:rsid w:val="46CD2D9F"/>
    <w:rsid w:val="470E1013"/>
    <w:rsid w:val="48F812ED"/>
    <w:rsid w:val="49726DB2"/>
    <w:rsid w:val="4A026112"/>
    <w:rsid w:val="4A3C454D"/>
    <w:rsid w:val="4B0A0336"/>
    <w:rsid w:val="4B271FF1"/>
    <w:rsid w:val="4BA542DC"/>
    <w:rsid w:val="4C865E9F"/>
    <w:rsid w:val="4D052A34"/>
    <w:rsid w:val="4D6233F6"/>
    <w:rsid w:val="4DF76D7D"/>
    <w:rsid w:val="4E785092"/>
    <w:rsid w:val="4F9F736B"/>
    <w:rsid w:val="4FE311F5"/>
    <w:rsid w:val="502531D8"/>
    <w:rsid w:val="50DA10C1"/>
    <w:rsid w:val="518A79A8"/>
    <w:rsid w:val="5298273F"/>
    <w:rsid w:val="54782876"/>
    <w:rsid w:val="549B6D51"/>
    <w:rsid w:val="54E61BCB"/>
    <w:rsid w:val="54EE18E4"/>
    <w:rsid w:val="56E10AB2"/>
    <w:rsid w:val="56F90CAF"/>
    <w:rsid w:val="58175555"/>
    <w:rsid w:val="589D41C1"/>
    <w:rsid w:val="58C67C45"/>
    <w:rsid w:val="58CA093F"/>
    <w:rsid w:val="59BC2A82"/>
    <w:rsid w:val="5B184D0A"/>
    <w:rsid w:val="5B3257BD"/>
    <w:rsid w:val="5B961925"/>
    <w:rsid w:val="5CF6578A"/>
    <w:rsid w:val="5D0122EF"/>
    <w:rsid w:val="5D285253"/>
    <w:rsid w:val="5D8A753D"/>
    <w:rsid w:val="5E8C5F29"/>
    <w:rsid w:val="5EA246CE"/>
    <w:rsid w:val="5EF74518"/>
    <w:rsid w:val="5F074054"/>
    <w:rsid w:val="5F2530AA"/>
    <w:rsid w:val="60C51F7B"/>
    <w:rsid w:val="61155C32"/>
    <w:rsid w:val="622207D5"/>
    <w:rsid w:val="627915C9"/>
    <w:rsid w:val="628C29E1"/>
    <w:rsid w:val="63993EAB"/>
    <w:rsid w:val="65A255AA"/>
    <w:rsid w:val="66F933D6"/>
    <w:rsid w:val="671557AD"/>
    <w:rsid w:val="687065EF"/>
    <w:rsid w:val="69217169"/>
    <w:rsid w:val="69286453"/>
    <w:rsid w:val="69553127"/>
    <w:rsid w:val="69D6092A"/>
    <w:rsid w:val="6A351234"/>
    <w:rsid w:val="6AD34B19"/>
    <w:rsid w:val="6B0A51FC"/>
    <w:rsid w:val="6BF32F56"/>
    <w:rsid w:val="6D3A541B"/>
    <w:rsid w:val="6EC66E88"/>
    <w:rsid w:val="70F9192E"/>
    <w:rsid w:val="714C2F47"/>
    <w:rsid w:val="715F2D1C"/>
    <w:rsid w:val="71962C37"/>
    <w:rsid w:val="71E107CB"/>
    <w:rsid w:val="72D91A28"/>
    <w:rsid w:val="73D05BB5"/>
    <w:rsid w:val="740059EF"/>
    <w:rsid w:val="741A23B4"/>
    <w:rsid w:val="74685BF6"/>
    <w:rsid w:val="74D5303C"/>
    <w:rsid w:val="76781C65"/>
    <w:rsid w:val="76FB7F97"/>
    <w:rsid w:val="773918AE"/>
    <w:rsid w:val="7802441D"/>
    <w:rsid w:val="78C45E3E"/>
    <w:rsid w:val="78CC1BA3"/>
    <w:rsid w:val="795B5BD3"/>
    <w:rsid w:val="79635CCA"/>
    <w:rsid w:val="7A7E543C"/>
    <w:rsid w:val="7AB55436"/>
    <w:rsid w:val="7ACE5A4A"/>
    <w:rsid w:val="7AF958CA"/>
    <w:rsid w:val="7B5613CF"/>
    <w:rsid w:val="7B65151E"/>
    <w:rsid w:val="7BE85025"/>
    <w:rsid w:val="7C1709B7"/>
    <w:rsid w:val="7CAC0A6E"/>
    <w:rsid w:val="7D2E255B"/>
    <w:rsid w:val="7D3816DE"/>
    <w:rsid w:val="7E783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qFormat/>
    <w:uiPriority w:val="0"/>
    <w:rPr>
      <w:sz w:val="21"/>
      <w:szCs w:val="21"/>
    </w:rPr>
  </w:style>
  <w:style w:type="character" w:customStyle="1" w:styleId="19">
    <w:name w:val="标题 1 Char"/>
    <w:basedOn w:val="14"/>
    <w:link w:val="3"/>
    <w:qFormat/>
    <w:uiPriority w:val="0"/>
    <w:rPr>
      <w:rFonts w:hint="default" w:ascii="Calibri" w:hAnsi="Calibri" w:cs="Calibri"/>
      <w:b/>
      <w:kern w:val="44"/>
      <w:sz w:val="44"/>
      <w:szCs w:val="44"/>
    </w:rPr>
  </w:style>
  <w:style w:type="character" w:customStyle="1" w:styleId="20">
    <w:name w:val="批注文字 Char2"/>
    <w:basedOn w:val="14"/>
    <w:link w:val="6"/>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Char"/>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4"/>
    <w:link w:val="6"/>
    <w:qFormat/>
    <w:uiPriority w:val="0"/>
    <w:rPr>
      <w:rFonts w:hint="default" w:ascii="Calibri" w:hAnsi="Calibri" w:cs="Calibri"/>
      <w:kern w:val="2"/>
      <w:sz w:val="21"/>
      <w:szCs w:val="22"/>
    </w:rPr>
  </w:style>
  <w:style w:type="character" w:customStyle="1" w:styleId="25">
    <w:name w:val="正文文本 Char"/>
    <w:basedOn w:val="14"/>
    <w:link w:val="7"/>
    <w:qFormat/>
    <w:uiPriority w:val="0"/>
    <w:rPr>
      <w:rFonts w:hint="eastAsia" w:ascii="宋体" w:hAnsi="宋体" w:eastAsia="宋体" w:cs="宋体"/>
      <w:kern w:val="2"/>
      <w:sz w:val="24"/>
      <w:szCs w:val="24"/>
    </w:rPr>
  </w:style>
  <w:style w:type="character" w:customStyle="1" w:styleId="26">
    <w:name w:val="文档结构图 Char1"/>
    <w:basedOn w:val="14"/>
    <w:link w:val="5"/>
    <w:qFormat/>
    <w:uiPriority w:val="0"/>
    <w:rPr>
      <w:rFonts w:hint="eastAsia" w:ascii="宋体" w:hAnsi="Calibri" w:eastAsia="宋体" w:cs="宋体"/>
      <w:kern w:val="2"/>
      <w:sz w:val="18"/>
      <w:szCs w:val="18"/>
    </w:rPr>
  </w:style>
  <w:style w:type="character" w:customStyle="1" w:styleId="27">
    <w:name w:val="批注框文本 Char"/>
    <w:basedOn w:val="14"/>
    <w:link w:val="8"/>
    <w:qFormat/>
    <w:uiPriority w:val="0"/>
    <w:rPr>
      <w:sz w:val="18"/>
      <w:szCs w:val="18"/>
    </w:rPr>
  </w:style>
  <w:style w:type="character" w:customStyle="1" w:styleId="28">
    <w:name w:val="页脚 Char1"/>
    <w:basedOn w:val="14"/>
    <w:link w:val="9"/>
    <w:qFormat/>
    <w:uiPriority w:val="0"/>
    <w:rPr>
      <w:rFonts w:hint="default" w:ascii="Calibri" w:hAnsi="Calibri" w:cs="Calibri"/>
      <w:kern w:val="2"/>
      <w:sz w:val="18"/>
      <w:szCs w:val="18"/>
    </w:rPr>
  </w:style>
  <w:style w:type="character" w:customStyle="1" w:styleId="29">
    <w:name w:val="标题 2 Char"/>
    <w:basedOn w:val="14"/>
    <w:link w:val="2"/>
    <w:qFormat/>
    <w:uiPriority w:val="0"/>
    <w:rPr>
      <w:rFonts w:hint="default" w:ascii="Cambria" w:hAnsi="Cambria" w:eastAsia="Cambria" w:cs="Cambria"/>
      <w:b/>
      <w:kern w:val="2"/>
      <w:sz w:val="32"/>
      <w:szCs w:val="32"/>
    </w:rPr>
  </w:style>
  <w:style w:type="character" w:customStyle="1" w:styleId="30">
    <w:name w:val="文档结构图 Char"/>
    <w:basedOn w:val="14"/>
    <w:link w:val="5"/>
    <w:qFormat/>
    <w:uiPriority w:val="0"/>
    <w:rPr>
      <w:rFonts w:hint="eastAsia" w:ascii="宋体" w:hAnsi="Calibri" w:eastAsia="宋体" w:cs="宋体"/>
      <w:kern w:val="2"/>
      <w:sz w:val="18"/>
      <w:szCs w:val="18"/>
    </w:rPr>
  </w:style>
  <w:style w:type="character" w:customStyle="1" w:styleId="31">
    <w:name w:val="页脚 Char"/>
    <w:basedOn w:val="14"/>
    <w:link w:val="9"/>
    <w:qFormat/>
    <w:uiPriority w:val="0"/>
    <w:rPr>
      <w:sz w:val="18"/>
      <w:szCs w:val="18"/>
    </w:rPr>
  </w:style>
  <w:style w:type="character" w:customStyle="1" w:styleId="32">
    <w:name w:val="页眉 Char"/>
    <w:basedOn w:val="14"/>
    <w:link w:val="10"/>
    <w:qFormat/>
    <w:uiPriority w:val="0"/>
    <w:rPr>
      <w:sz w:val="18"/>
      <w:szCs w:val="18"/>
    </w:rPr>
  </w:style>
  <w:style w:type="character" w:customStyle="1" w:styleId="33">
    <w:name w:val="页眉 Char1"/>
    <w:basedOn w:val="14"/>
    <w:link w:val="10"/>
    <w:qFormat/>
    <w:uiPriority w:val="0"/>
    <w:rPr>
      <w:rFonts w:hint="default" w:ascii="Calibri" w:hAnsi="Calibri" w:cs="Calibri"/>
      <w:kern w:val="2"/>
      <w:sz w:val="18"/>
      <w:szCs w:val="18"/>
    </w:rPr>
  </w:style>
  <w:style w:type="character" w:customStyle="1" w:styleId="34">
    <w:name w:val="正文文本 Char1"/>
    <w:basedOn w:val="14"/>
    <w:link w:val="7"/>
    <w:qFormat/>
    <w:uiPriority w:val="0"/>
    <w:rPr>
      <w:rFonts w:hint="default" w:ascii="Calibri" w:hAnsi="Calibri" w:cs="Calibri"/>
      <w:kern w:val="2"/>
      <w:sz w:val="21"/>
      <w:szCs w:val="22"/>
    </w:rPr>
  </w:style>
  <w:style w:type="character" w:customStyle="1" w:styleId="35">
    <w:name w:val="批注框文本 Char1"/>
    <w:basedOn w:val="14"/>
    <w:link w:val="8"/>
    <w:qFormat/>
    <w:uiPriority w:val="0"/>
    <w:rPr>
      <w:rFonts w:hint="default" w:ascii="Calibri" w:hAnsi="Calibri" w:cs="Calibri"/>
      <w:kern w:val="2"/>
      <w:sz w:val="18"/>
      <w:szCs w:val="18"/>
    </w:rPr>
  </w:style>
  <w:style w:type="character" w:customStyle="1" w:styleId="36">
    <w:name w:val="font31"/>
    <w:basedOn w:val="14"/>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textRotate="1"/>
    <customShpInfo spid="_x0000_s2050"/>
    <customShpInfo spid="_x0000_s1033"/>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2105</Words>
  <Characters>12004</Characters>
  <Lines>100</Lines>
  <Paragraphs>28</Paragraphs>
  <TotalTime>0</TotalTime>
  <ScaleCrop>false</ScaleCrop>
  <LinksUpToDate>false</LinksUpToDate>
  <CharactersWithSpaces>14081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2021-01-06T01:46:00Z</cp:lastPrinted>
  <dcterms:modified xsi:type="dcterms:W3CDTF">2021-05-25T08:08:56Z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DAC332B1953946999DACE0068F6B8A66</vt:lpwstr>
  </property>
</Properties>
</file>