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江南立交改造二期工程一标段</w:t>
      </w: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eastAsia="zh-CN"/>
        </w:rPr>
        <w:t>钢筋材料</w:t>
      </w:r>
      <w:r>
        <w:rPr>
          <w:rFonts w:hint="eastAsia" w:ascii="黑体" w:hAnsi="宋体" w:eastAsia="黑体" w:cs="黑体"/>
          <w:b/>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default"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eastAsia="宋体" w:cs="宋体"/>
          <w:color w:val="auto"/>
          <w:sz w:val="28"/>
          <w:szCs w:val="22"/>
          <w:highlight w:val="none"/>
          <w:lang w:val="en-US" w:eastAsia="zh-CN"/>
        </w:rPr>
        <w:t>2021-03-007</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28</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江南立交改造二期工程一标段钢筋</w:t>
      </w:r>
      <w:r>
        <w:rPr>
          <w:rFonts w:hint="eastAsia" w:ascii="宋体" w:hAnsi="宋体" w:eastAsia="宋体" w:cs="宋体"/>
          <w:bCs/>
          <w:color w:val="auto"/>
          <w:sz w:val="28"/>
          <w:szCs w:val="22"/>
          <w:highlight w:val="none"/>
          <w:u w:val="single"/>
          <w:lang w:val="en-US" w:eastAsia="zh-CN"/>
        </w:rPr>
        <w:t>材料采购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江南立交改造二期工程</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default" w:ascii="宋体" w:hAnsi="宋体" w:cs="宋体"/>
          <w:bCs/>
          <w:color w:val="auto"/>
          <w:sz w:val="28"/>
          <w:szCs w:val="22"/>
          <w:highlight w:val="none"/>
          <w:u w:val="single"/>
          <w:lang w:val="en-US" w:eastAsia="zh-CN"/>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cs="宋体"/>
          <w:bCs/>
          <w:color w:val="auto"/>
          <w:sz w:val="28"/>
          <w:szCs w:val="22"/>
          <w:highlight w:val="none"/>
          <w:u w:val="single"/>
          <w:lang w:val="en-US" w:eastAsia="zh-CN"/>
        </w:rPr>
        <w:t>综合，暂定数量10049T</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eastAsia="宋体" w:cs="宋体"/>
          <w:bCs/>
          <w:color w:val="000000" w:themeColor="text1"/>
          <w:sz w:val="28"/>
          <w:szCs w:val="22"/>
          <w:u w:val="single"/>
          <w14:textFill>
            <w14:solidFill>
              <w14:schemeClr w14:val="tx1"/>
            </w14:solidFill>
          </w14:textFill>
        </w:rPr>
        <w:t>重庆市</w:t>
      </w:r>
      <w:r>
        <w:rPr>
          <w:rFonts w:hint="eastAsia" w:ascii="宋体" w:hAnsi="宋体" w:cs="宋体"/>
          <w:bCs/>
          <w:color w:val="000000" w:themeColor="text1"/>
          <w:sz w:val="28"/>
          <w:szCs w:val="22"/>
          <w:u w:val="single"/>
          <w:lang w:val="en-US" w:eastAsia="zh-CN"/>
          <w14:textFill>
            <w14:solidFill>
              <w14:schemeClr w14:val="tx1"/>
            </w14:solidFill>
          </w14:textFill>
        </w:rPr>
        <w:t>南岸区四公里江南立交改造二期工程</w:t>
      </w:r>
      <w:r>
        <w:rPr>
          <w:rFonts w:hint="eastAsia" w:ascii="宋体" w:hAnsi="宋体" w:eastAsia="宋体" w:cs="宋体"/>
          <w:bCs/>
          <w:color w:val="000000" w:themeColor="text1"/>
          <w:sz w:val="28"/>
          <w:szCs w:val="22"/>
          <w:u w:val="single"/>
          <w14:textFill>
            <w14:solidFill>
              <w14:schemeClr w14:val="tx1"/>
            </w14:solidFill>
          </w14:textFill>
        </w:rPr>
        <w:t>施工现场</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left"/>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5</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31</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both"/>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jc w:val="center"/>
        <w:textAlignment w:val="auto"/>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480" w:lineRule="exact"/>
        <w:ind w:firstLine="2800" w:firstLineChars="1000"/>
        <w:jc w:val="left"/>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5</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31</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939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60"/>
        <w:gridCol w:w="1824"/>
        <w:gridCol w:w="70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firstLine="0" w:firstLineChars="0"/>
              <w:jc w:val="left"/>
              <w:textAlignment w:val="auto"/>
              <w:outlineLvl w:val="9"/>
              <w:rPr>
                <w:rFonts w:hint="eastAsia" w:ascii="宋体" w:hAnsi="宋体" w:cs="宋体"/>
                <w:color w:val="auto"/>
                <w:szCs w:val="21"/>
                <w:lang w:val="en-US" w:eastAsia="zh-CN"/>
              </w:rPr>
            </w:pPr>
            <w:r>
              <w:rPr>
                <w:rFonts w:hint="eastAsia" w:ascii="宋体" w:hAnsi="宋体" w:cs="宋体"/>
                <w:color w:val="auto"/>
                <w:szCs w:val="21"/>
                <w:lang w:val="en-US" w:eastAsia="zh-CN"/>
              </w:rPr>
              <w:t>江南立交改造二期工程</w:t>
            </w:r>
          </w:p>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default" w:ascii="宋体" w:hAnsi="宋体" w:eastAsia="宋体" w:cs="宋体"/>
                <w:color w:val="auto"/>
                <w:szCs w:val="21"/>
                <w:highlight w:val="none"/>
              </w:rPr>
            </w:pPr>
            <w:r>
              <w:rPr>
                <w:rFonts w:hint="eastAsia" w:ascii="宋体" w:hAnsi="宋体" w:eastAsia="宋体" w:cs="宋体"/>
                <w:color w:val="auto"/>
                <w:szCs w:val="21"/>
                <w:lang w:eastAsia="zh-CN"/>
              </w:rPr>
              <w:t>重庆市</w:t>
            </w:r>
            <w:r>
              <w:rPr>
                <w:rFonts w:hint="eastAsia" w:ascii="宋体" w:hAnsi="宋体" w:cs="宋体"/>
                <w:color w:val="auto"/>
                <w:szCs w:val="21"/>
                <w:lang w:val="en-US" w:eastAsia="zh-CN"/>
              </w:rPr>
              <w:t>南岸区四公里江南立交改造二期</w:t>
            </w:r>
            <w:r>
              <w:rPr>
                <w:rFonts w:hint="eastAsia" w:ascii="宋体" w:hAnsi="宋体" w:cs="宋体"/>
                <w:color w:val="auto"/>
                <w:szCs w:val="21"/>
                <w:lang w:eastAsia="zh-CN"/>
              </w:rPr>
              <w:t>工程</w:t>
            </w:r>
            <w:r>
              <w:rPr>
                <w:rFonts w:hint="eastAsia" w:ascii="宋体" w:hAnsi="宋体" w:eastAsia="宋体" w:cs="宋体"/>
                <w:color w:val="auto"/>
                <w:szCs w:val="21"/>
                <w:lang w:eastAsia="zh-CN"/>
              </w:rPr>
              <w:t>施工现场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0"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名称及型号</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钢筋（综合）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暂定数量10049T；按项目部要求按时供货。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outlineLvl w:val="9"/>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1、供应商必须是重庆对外建设（集团）有限公司合格供方库内单位，且无失信记录；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outlineLvl w:val="9"/>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2、本次要求投标人营业执照经营范围必须包含销售建材或钢材等。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outlineLvl w:val="9"/>
              <w:rPr>
                <w:rFonts w:hint="default"/>
              </w:rPr>
            </w:pPr>
            <w:r>
              <w:rPr>
                <w:rFonts w:hint="eastAsia" w:ascii="宋体" w:hAnsi="宋体" w:eastAsia="宋体" w:cs="宋体"/>
                <w:b w:val="0"/>
                <w:color w:val="auto"/>
                <w:kern w:val="2"/>
                <w:sz w:val="21"/>
                <w:szCs w:val="21"/>
                <w:highlight w:val="none"/>
                <w:lang w:val="en-US" w:eastAsia="zh-CN" w:bidi="ar-SA"/>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4"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最高限价（含税）</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我的钢铁网基价+30元/t，暂定总价50646960.00元（含税）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报价要求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按</w:t>
            </w:r>
            <w:r>
              <w:rPr>
                <w:rFonts w:hint="eastAsia" w:ascii="宋体" w:hAnsi="宋体" w:cs="宋体"/>
                <w:color w:val="auto"/>
                <w:szCs w:val="21"/>
                <w:highlight w:val="none"/>
                <w:lang w:val="en-US" w:eastAsia="zh-CN"/>
              </w:rPr>
              <w:t>合同要求执行，详合同版本。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outlineLvl w:val="9"/>
              <w:rPr>
                <w:rFonts w:hint="eastAsia" w:ascii="宋体" w:hAnsi="宋体" w:cs="宋体"/>
                <w:color w:val="auto"/>
                <w:szCs w:val="21"/>
                <w:highlight w:val="none"/>
                <w:lang w:val="en-US" w:eastAsia="zh-CN"/>
              </w:rPr>
            </w:pPr>
            <w:r>
              <w:rPr>
                <w:rFonts w:hint="eastAsia" w:ascii="宋体" w:hAnsi="宋体" w:eastAsia="宋体" w:cs="宋体"/>
                <w:b w:val="0"/>
                <w:color w:val="auto"/>
                <w:kern w:val="2"/>
                <w:sz w:val="21"/>
                <w:szCs w:val="21"/>
                <w:highlight w:val="none"/>
                <w:lang w:val="en-US" w:eastAsia="zh-CN" w:bidi="ar-SA"/>
              </w:rPr>
              <w:t>钢筋到现场验收合格后，甲方按实际到场量过磅，双方于到货当日按到货当日实际到场验收合格的量进行对账，甲方在收到乙方开具的符合要求的全额增值税专用发票后，于货到后15天之内100%付清该次对账金额。如乙方已开具符合要求的发票，货到后15天内未付全款，按1.5元/吨/天对未付款部分计资占费。支付方式：银行转账、承兑汇票、银行信用证、E信通等金融产品的一种或多种支付（若产生相关费用由甲方承担）</w:t>
            </w:r>
            <w:r>
              <w:rPr>
                <w:rFonts w:hint="eastAsia" w:ascii="宋体" w:hAnsi="宋体" w:cs="宋体"/>
                <w:b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highlight w:val="none"/>
                <w:lang w:val="en-US" w:eastAsia="zh-CN" w:bidi="ar-SA"/>
              </w:rPr>
              <w:t>现场供货量按实际过磅量计算，现场过磅磅差在千分之三之内，按乙方送货数量计算；磅差超过千分之三以外的数量时，按以下原则处理：千分之三磅差由甲方承担，超过千分之三磅差（超出部分）由乙方承担。同时双方有权送至双方共同认可的机构进行复验。我的钢材网基价为</w:t>
            </w:r>
            <w:r>
              <w:rPr>
                <w:rFonts w:hint="eastAsia" w:ascii="宋体" w:hAnsi="宋体" w:cs="宋体"/>
                <w:b w:val="0"/>
                <w:color w:val="auto"/>
                <w:kern w:val="2"/>
                <w:sz w:val="21"/>
                <w:szCs w:val="21"/>
                <w:highlight w:val="none"/>
                <w:lang w:val="en-US" w:eastAsia="zh-CN" w:bidi="ar-SA"/>
              </w:rPr>
              <w:t>下单</w:t>
            </w:r>
            <w:r>
              <w:rPr>
                <w:rFonts w:hint="eastAsia" w:ascii="宋体" w:hAnsi="宋体" w:eastAsia="宋体" w:cs="宋体"/>
                <w:b w:val="0"/>
                <w:color w:val="auto"/>
                <w:kern w:val="2"/>
                <w:sz w:val="21"/>
                <w:szCs w:val="21"/>
                <w:highlight w:val="none"/>
                <w:lang w:val="en-US" w:eastAsia="zh-CN" w:bidi="ar-SA"/>
              </w:rPr>
              <w:t>当日我的钢铁网公布的</w:t>
            </w:r>
            <w:r>
              <w:rPr>
                <w:rFonts w:hint="eastAsia" w:ascii="宋体" w:hAnsi="宋体" w:cs="宋体"/>
                <w:b w:val="0"/>
                <w:color w:val="auto"/>
                <w:kern w:val="2"/>
                <w:sz w:val="21"/>
                <w:szCs w:val="21"/>
                <w:highlight w:val="none"/>
                <w:lang w:val="en-US" w:eastAsia="zh-CN" w:bidi="ar-SA"/>
              </w:rPr>
              <w:t>重庆区域</w:t>
            </w:r>
            <w:r>
              <w:rPr>
                <w:rFonts w:hint="eastAsia" w:ascii="宋体" w:hAnsi="宋体" w:eastAsia="宋体" w:cs="宋体"/>
                <w:b w:val="0"/>
                <w:color w:val="auto"/>
                <w:kern w:val="2"/>
                <w:sz w:val="21"/>
                <w:szCs w:val="21"/>
                <w:highlight w:val="none"/>
                <w:lang w:val="en-US" w:eastAsia="zh-CN" w:bidi="ar-SA"/>
              </w:rPr>
              <w:t>同品牌同材质同规格网价，有备注的按备注价执行，若供应的钢材无网价则按重庆区域重钢同材质同规格网价下浮30元/吨。</w:t>
            </w:r>
            <w:r>
              <w:rPr>
                <w:rFonts w:hint="eastAsia" w:ascii="宋体" w:hAnsi="宋体" w:cs="宋体"/>
                <w:b w:val="0"/>
                <w:color w:val="auto"/>
                <w:kern w:val="2"/>
                <w:sz w:val="21"/>
                <w:szCs w:val="21"/>
                <w:highlight w:val="none"/>
                <w:lang w:val="en-US" w:eastAsia="zh-CN" w:bidi="ar-SA"/>
              </w:rPr>
              <w:t>下单时若</w:t>
            </w:r>
            <w:r>
              <w:rPr>
                <w:rFonts w:hint="eastAsia" w:ascii="宋体" w:hAnsi="宋体" w:eastAsia="宋体" w:cs="宋体"/>
                <w:b w:val="0"/>
                <w:color w:val="auto"/>
                <w:kern w:val="2"/>
                <w:sz w:val="21"/>
                <w:szCs w:val="21"/>
                <w:highlight w:val="none"/>
                <w:lang w:val="en-US" w:eastAsia="zh-CN" w:bidi="ar-SA"/>
              </w:rPr>
              <w:t>当天未公布价格，按之前最近一次公布的价格执行结算，</w:t>
            </w:r>
            <w:r>
              <w:rPr>
                <w:rFonts w:hint="eastAsia" w:ascii="宋体" w:hAnsi="宋体" w:cs="宋体"/>
                <w:b w:val="0"/>
                <w:color w:val="auto"/>
                <w:kern w:val="2"/>
                <w:sz w:val="21"/>
                <w:szCs w:val="21"/>
                <w:highlight w:val="none"/>
                <w:lang w:val="en-US" w:eastAsia="zh-CN" w:bidi="ar-SA"/>
              </w:rPr>
              <w:t>下单</w:t>
            </w:r>
            <w:r>
              <w:rPr>
                <w:rFonts w:hint="eastAsia" w:ascii="宋体" w:hAnsi="宋体" w:eastAsia="宋体" w:cs="宋体"/>
                <w:b w:val="0"/>
                <w:color w:val="auto"/>
                <w:kern w:val="2"/>
                <w:sz w:val="21"/>
                <w:szCs w:val="21"/>
                <w:highlight w:val="none"/>
                <w:lang w:val="en-US" w:eastAsia="zh-CN" w:bidi="ar-SA"/>
              </w:rPr>
              <w:t>当天公布多个价格时按第一次公布的价格执行。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leftChars="0" w:right="0" w:rightChars="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val="en-US" w:eastAsia="zh-CN"/>
              </w:rPr>
              <w:t>王瑞 18502353377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rPr>
              <w:t xml:space="preserve"> </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31</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rightChars="0" w:hanging="210" w:hangingChars="100"/>
              <w:jc w:val="left"/>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投标文件提交地点及提交时间</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auto"/>
              <w:outlineLvl w:val="9"/>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开标</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日15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bookmarkStart w:id="37" w:name="_GoBack"/>
            <w:bookmarkEnd w:id="37"/>
          </w:p>
          <w:p>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评审方法及标准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leftChars="0" w:right="0" w:rightChars="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在开标时应出示文件</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leftChars="0" w:right="0" w:rightChars="0"/>
              <w:jc w:val="left"/>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spacing w:line="360" w:lineRule="auto"/>
        <w:jc w:val="center"/>
        <w:outlineLvl w:val="3"/>
        <w:rPr>
          <w:rFonts w:hint="eastAsia" w:ascii="宋体" w:hAnsi="宋体" w:cs="宋体"/>
          <w:b/>
          <w:color w:val="auto"/>
          <w:sz w:val="30"/>
          <w:highlight w:val="none"/>
        </w:rPr>
      </w:pPr>
      <w:bookmarkStart w:id="0" w:name="_Toc454701405"/>
      <w:bookmarkStart w:id="1" w:name="_Toc479991610"/>
      <w:bookmarkStart w:id="2" w:name="_Toc480021081"/>
      <w:bookmarkStart w:id="3" w:name="_Toc491658679"/>
      <w:bookmarkStart w:id="4" w:name="_Toc6727971"/>
      <w:bookmarkStart w:id="5" w:name="_Toc458262638"/>
      <w:bookmarkStart w:id="6" w:name="_Toc467236768"/>
      <w:bookmarkStart w:id="7" w:name="_Toc467987851"/>
      <w:bookmarkStart w:id="8" w:name="_Toc468606057"/>
      <w:bookmarkStart w:id="9" w:name="_Toc468157564"/>
      <w:bookmarkStart w:id="10" w:name="_Toc480020285"/>
      <w:bookmarkStart w:id="11" w:name="_Toc500861026"/>
      <w:bookmarkStart w:id="12" w:name="_Toc480010736"/>
      <w:bookmarkStart w:id="13" w:name="_Toc6397150"/>
      <w:bookmarkStart w:id="14" w:name="_Toc65998015"/>
      <w:bookmarkStart w:id="15" w:name="_Toc123786880"/>
      <w:bookmarkStart w:id="16" w:name="_Toc90779595"/>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必须包含销售建材或钢材等</w:t>
            </w:r>
            <w:r>
              <w:rPr>
                <w:rFonts w:hint="eastAsia" w:ascii="宋体" w:hAnsi="宋体" w:cs="宋体"/>
                <w:color w:val="auto"/>
                <w:highlight w:val="none"/>
              </w:rPr>
              <w:t>。</w:t>
            </w:r>
            <w:r>
              <w:rPr>
                <w:rFonts w:hint="eastAsia" w:ascii="宋体" w:hAnsi="宋体" w:cs="宋体"/>
                <w:color w:val="auto"/>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jc w:val="center"/>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71877701"/>
      <w:bookmarkStart w:id="18" w:name="_Toc42923333"/>
      <w:bookmarkStart w:id="19" w:name="_Toc123786822"/>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71877702"/>
      <w:bookmarkStart w:id="21"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p>
      <w:pPr>
        <w:pStyle w:val="2"/>
        <w:rPr>
          <w:rFonts w:hint="eastAsia" w:ascii="Times New Roman" w:hAnsi="Times New Roman" w:eastAsia="宋体" w:cs="Times New Roman"/>
          <w:color w:val="auto"/>
          <w:sz w:val="28"/>
          <w:szCs w:val="28"/>
          <w:highlight w:val="none"/>
        </w:rPr>
      </w:pPr>
    </w:p>
    <w:p>
      <w:pPr>
        <w:rPr>
          <w:rFonts w:hint="eastAsia" w:ascii="Times New Roman" w:hAnsi="Times New Roman" w:eastAsia="宋体" w:cs="Times New Roman"/>
          <w:color w:val="auto"/>
          <w:sz w:val="28"/>
          <w:szCs w:val="28"/>
          <w:highlight w:val="none"/>
        </w:rPr>
      </w:pPr>
    </w:p>
    <w:bookmarkEnd w:id="20"/>
    <w:bookmarkEnd w:id="21"/>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val="en-US" w:eastAsia="zh-CN"/>
        </w:rPr>
        <w:t xml:space="preserve"> </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firstLine="560" w:firstLineChars="200"/>
        <w:jc w:val="left"/>
        <w:textAlignment w:val="auto"/>
        <w:outlineLvl w:val="9"/>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w:t>
      </w:r>
      <w:r>
        <w:rPr>
          <w:rFonts w:hint="eastAsia" w:ascii="Times New Roman" w:hAnsi="Times New Roman" w:eastAsia="仿宋" w:cs="Times New Roman"/>
          <w:kern w:val="0"/>
          <w:sz w:val="28"/>
          <w:szCs w:val="28"/>
        </w:rPr>
        <w:t>。</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r>
        <w:rPr>
          <w:rFonts w:hint="eastAsia" w:ascii="Times New Roman" w:hAnsi="Times New Roman" w:eastAsia="仿宋" w:cs="Times New Roman"/>
          <w:color w:val="C00000"/>
          <w:kern w:val="0"/>
          <w:sz w:val="28"/>
          <w:szCs w:val="28"/>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pageBreakBefore w:val="0"/>
        <w:widowControl w:val="0"/>
        <w:kinsoku/>
        <w:wordWrap/>
        <w:overflowPunct/>
        <w:topLinePunct w:val="0"/>
        <w:autoSpaceDE/>
        <w:autoSpaceDN/>
        <w:bidi w:val="0"/>
        <w:spacing w:line="264" w:lineRule="auto"/>
        <w:textAlignment w:val="auto"/>
        <w:rPr>
          <w:rFonts w:hint="default"/>
          <w:lang w:val="en-US" w:eastAsia="zh-CN"/>
        </w:rPr>
        <w:sectPr>
          <w:pgSz w:w="11906" w:h="16838"/>
          <w:pgMar w:top="873" w:right="1315" w:bottom="873" w:left="1315"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江南立交改造二期工程一标段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钢筋材料采购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default" w:cs="宋体"/>
          <w:b/>
          <w:color w:val="auto"/>
          <w:sz w:val="32"/>
          <w:szCs w:val="32"/>
          <w:highlight w:val="none"/>
          <w:lang w:val="en-US" w:eastAsia="zh-CN"/>
        </w:rPr>
      </w:pPr>
      <w:r>
        <w:rPr>
          <w:rFonts w:hint="eastAsia" w:cs="宋体"/>
          <w:b/>
          <w:color w:val="auto"/>
          <w:sz w:val="32"/>
          <w:szCs w:val="32"/>
          <w:highlight w:val="none"/>
          <w:lang w:eastAsia="zh-CN"/>
        </w:rPr>
        <w:t>招采文件编号：</w:t>
      </w:r>
      <w:r>
        <w:rPr>
          <w:rFonts w:hint="eastAsia" w:cs="宋体"/>
          <w:b/>
          <w:color w:val="auto"/>
          <w:sz w:val="32"/>
          <w:szCs w:val="32"/>
          <w:highlight w:val="none"/>
          <w:u w:val="single"/>
          <w:lang w:val="en-US" w:eastAsia="zh-CN"/>
        </w:rPr>
        <w:t>2021-03-007</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江南立交改造二期工程一标段钢筋材料采购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lang w:eastAsia="zh-CN"/>
        </w:rPr>
        <w:t>人民币（大写）</w:t>
      </w:r>
      <w:r>
        <w:rPr>
          <w:rFonts w:hint="eastAsia" w:ascii="宋体" w:hAnsi="宋体" w:cs="宋体"/>
          <w:color w:val="auto"/>
          <w:sz w:val="28"/>
          <w:szCs w:val="28"/>
          <w:highlight w:val="none"/>
          <w:u w:val="single"/>
          <w:lang w:eastAsia="zh-CN"/>
        </w:rPr>
        <w:tab/>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元（¥             ）</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总价（含税）</w:t>
      </w:r>
      <w:r>
        <w:rPr>
          <w:rFonts w:hint="eastAsia" w:ascii="宋体" w:hAnsi="宋体" w:eastAsia="宋体" w:cs="宋体"/>
          <w:color w:val="auto"/>
          <w:sz w:val="28"/>
          <w:szCs w:val="28"/>
          <w:highlight w:val="none"/>
        </w:rPr>
        <w:t>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26066260"/>
      <w:bookmarkStart w:id="25" w:name="_Toc500861027"/>
      <w:bookmarkStart w:id="26" w:name="_Toc491658680"/>
      <w:bookmarkStart w:id="27" w:name="_Toc90779596"/>
      <w:bookmarkStart w:id="28" w:name="_Toc6397151"/>
      <w:bookmarkStart w:id="29" w:name="_Toc65998016"/>
      <w:bookmarkStart w:id="30" w:name="_Toc6727972"/>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江南立交改造二期工程一标段钢筋材料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江南立交改造二期工程一标段钢筋</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注：投标人法定代表人参加投标的无须提供该委托书。</w:t>
      </w:r>
    </w:p>
    <w:p>
      <w:pPr>
        <w:rPr>
          <w:rFonts w:hint="eastAsia" w:ascii="宋体" w:hAnsi="宋体" w:eastAsia="宋体" w:cs="宋体"/>
          <w:color w:val="auto"/>
          <w:sz w:val="28"/>
          <w:szCs w:val="28"/>
          <w:highlight w:val="none"/>
        </w:rPr>
        <w:sectPr>
          <w:pgSz w:w="11906" w:h="16838"/>
          <w:pgMar w:top="1417" w:right="1417" w:bottom="1417" w:left="1417" w:header="567" w:footer="567" w:gutter="0"/>
          <w:pgNumType w:fmt="decimal"/>
          <w:cols w:space="0" w:num="1"/>
          <w:rtlGutter w:val="0"/>
          <w:docGrid w:type="lines" w:linePitch="312" w:charSpace="0"/>
        </w:sectPr>
      </w:pPr>
    </w:p>
    <w:p>
      <w:pPr>
        <w:widowControl/>
        <w:numPr>
          <w:ilvl w:val="0"/>
          <w:numId w:val="2"/>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1913" w:tblpY="261"/>
        <w:tblOverlap w:val="never"/>
        <w:tblW w:w="12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98"/>
        <w:gridCol w:w="1240"/>
        <w:gridCol w:w="790"/>
        <w:gridCol w:w="720"/>
        <w:gridCol w:w="1350"/>
        <w:gridCol w:w="1260"/>
        <w:gridCol w:w="1432"/>
        <w:gridCol w:w="1436"/>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9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2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7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7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610"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（含税）</w:t>
            </w:r>
          </w:p>
        </w:tc>
        <w:tc>
          <w:tcPr>
            <w:tcW w:w="2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（含税）</w:t>
            </w:r>
          </w:p>
        </w:tc>
        <w:tc>
          <w:tcPr>
            <w:tcW w:w="293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79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2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79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72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35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26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293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1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9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iCs w:val="0"/>
                <w:color w:val="000000"/>
                <w:kern w:val="0"/>
                <w:sz w:val="20"/>
                <w:szCs w:val="20"/>
                <w:u w:val="none"/>
                <w:lang w:val="en-US" w:eastAsia="zh-CN" w:bidi="ar"/>
              </w:rPr>
              <w:t>钢筋</w:t>
            </w:r>
          </w:p>
        </w:tc>
        <w:tc>
          <w:tcPr>
            <w:tcW w:w="124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（综合）</w:t>
            </w:r>
          </w:p>
        </w:tc>
        <w:tc>
          <w:tcPr>
            <w:tcW w:w="79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T</w:t>
            </w:r>
          </w:p>
        </w:tc>
        <w:tc>
          <w:tcPr>
            <w:tcW w:w="7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10049 </w:t>
            </w:r>
          </w:p>
        </w:tc>
        <w:tc>
          <w:tcPr>
            <w:tcW w:w="135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宋体" w:cs="Times New Roman"/>
                <w:color w:val="auto"/>
                <w:kern w:val="2"/>
                <w:sz w:val="22"/>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我的钢铁网基价+</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0元/t</w:t>
            </w:r>
          </w:p>
        </w:tc>
        <w:tc>
          <w:tcPr>
            <w:tcW w:w="12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50646960.00 </w:t>
            </w:r>
          </w:p>
        </w:tc>
        <w:tc>
          <w:tcPr>
            <w:tcW w:w="143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iCs w:val="0"/>
                <w:color w:val="000000"/>
                <w:kern w:val="0"/>
                <w:sz w:val="20"/>
                <w:szCs w:val="20"/>
                <w:u w:val="none"/>
                <w:lang w:val="en-US" w:eastAsia="zh-CN" w:bidi="ar"/>
              </w:rPr>
              <w:t>我的钢铁网基价+</w:t>
            </w:r>
            <w:r>
              <w:rPr>
                <w:rFonts w:hint="eastAsia" w:ascii="宋体" w:hAnsi="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元/t</w:t>
            </w:r>
          </w:p>
        </w:tc>
        <w:tc>
          <w:tcPr>
            <w:tcW w:w="14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2934" w:type="dxa"/>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钢材品牌限定为重钢、攀钢、达钢</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备用品牌：</w:t>
            </w:r>
            <w:r>
              <w:rPr>
                <w:rFonts w:hint="default" w:ascii="宋体" w:hAnsi="宋体" w:eastAsia="宋体" w:cs="宋体"/>
                <w:i w:val="0"/>
                <w:iCs w:val="0"/>
                <w:color w:val="000000"/>
                <w:kern w:val="0"/>
                <w:sz w:val="20"/>
                <w:szCs w:val="20"/>
                <w:u w:val="none"/>
                <w:lang w:val="en-US" w:eastAsia="zh-CN" w:bidi="ar"/>
              </w:rPr>
              <w:t>威钢、龙钢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458"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合计（元）</w:t>
            </w:r>
          </w:p>
        </w:tc>
        <w:tc>
          <w:tcPr>
            <w:tcW w:w="2610"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宋体" w:hAnsi="宋体" w:eastAsia="宋体" w:cs="宋体"/>
                <w:i w:val="0"/>
                <w:iCs w:val="0"/>
                <w:color w:val="000000"/>
                <w:kern w:val="0"/>
                <w:sz w:val="18"/>
                <w:szCs w:val="18"/>
                <w:u w:val="none"/>
                <w:lang w:val="en-US" w:eastAsia="zh-CN" w:bidi="ar"/>
              </w:rPr>
              <w:t>50646960</w:t>
            </w:r>
            <w:r>
              <w:rPr>
                <w:rFonts w:hint="eastAsia" w:ascii="宋体" w:hAnsi="宋体" w:eastAsia="宋体" w:cs="宋体"/>
                <w:i w:val="0"/>
                <w:color w:val="000000"/>
                <w:kern w:val="0"/>
                <w:sz w:val="18"/>
                <w:szCs w:val="18"/>
                <w:u w:val="none"/>
                <w:lang w:val="en-US" w:eastAsia="zh-CN" w:bidi="ar"/>
              </w:rPr>
              <w:t>.00</w:t>
            </w:r>
          </w:p>
        </w:tc>
        <w:tc>
          <w:tcPr>
            <w:tcW w:w="2868"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2"/>
                <w:szCs w:val="21"/>
                <w:highlight w:val="none"/>
                <w:lang w:val="en-US" w:eastAsia="zh-CN"/>
              </w:rPr>
            </w:pPr>
          </w:p>
        </w:tc>
        <w:tc>
          <w:tcPr>
            <w:tcW w:w="2934"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bl>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2"/>
          <w:szCs w:val="22"/>
          <w:highlight w:val="none"/>
          <w:lang w:eastAsia="zh-CN"/>
        </w:rPr>
      </w:pPr>
    </w:p>
    <w:p>
      <w:pPr>
        <w:rPr>
          <w:rFonts w:hint="eastAsia" w:ascii="Times New Roman" w:hAnsi="Times New Roman" w:cs="Times New Roman"/>
          <w:color w:val="auto"/>
          <w:sz w:val="21"/>
          <w:szCs w:val="21"/>
          <w:lang w:val="en-US" w:eastAsia="zh-CN"/>
        </w:rPr>
      </w:pPr>
      <w:r>
        <w:rPr>
          <w:rFonts w:hint="eastAsia" w:ascii="宋体" w:hAnsi="宋体" w:eastAsia="宋体" w:cs="宋体"/>
          <w:color w:val="auto"/>
          <w:sz w:val="22"/>
          <w:szCs w:val="22"/>
          <w:highlight w:val="none"/>
          <w:lang w:eastAsia="zh-CN"/>
        </w:rPr>
        <w:t>说明：</w:t>
      </w:r>
      <w:r>
        <w:rPr>
          <w:rFonts w:hint="eastAsia" w:ascii="宋体" w:hAnsi="宋体" w:cs="宋体"/>
          <w:color w:val="auto"/>
          <w:sz w:val="22"/>
          <w:szCs w:val="22"/>
          <w:highlight w:val="none"/>
          <w:lang w:val="en-US" w:eastAsia="zh-CN"/>
        </w:rPr>
        <w:t>1、</w:t>
      </w:r>
      <w:r>
        <w:rPr>
          <w:rFonts w:hint="eastAsia" w:ascii="Times New Roman" w:hAnsi="Times New Roman" w:cs="Times New Roman"/>
          <w:color w:val="auto"/>
          <w:sz w:val="21"/>
          <w:szCs w:val="21"/>
          <w:lang w:val="en-US" w:eastAsia="zh-CN"/>
        </w:rPr>
        <w:t>材料最高单价限价为到场价，含材料费、运输费、上车费和税金(13%)等相关费用。</w:t>
      </w:r>
    </w:p>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 xml:space="preserve">     </w:t>
      </w:r>
      <w:r>
        <w:rPr>
          <w:rFonts w:hint="eastAsia" w:ascii="宋体" w:hAnsi="宋体" w:cs="宋体"/>
          <w:color w:val="auto"/>
          <w:sz w:val="22"/>
          <w:szCs w:val="22"/>
          <w:highlight w:val="none"/>
          <w:lang w:val="en-US" w:eastAsia="zh-CN"/>
        </w:rPr>
        <w:t xml:space="preserve"> 2、</w:t>
      </w:r>
      <w:r>
        <w:rPr>
          <w:rFonts w:hint="eastAsia" w:ascii="Times New Roman" w:hAnsi="Times New Roman" w:cs="Times New Roman"/>
          <w:b w:val="0"/>
          <w:bCs w:val="0"/>
          <w:color w:val="auto"/>
          <w:kern w:val="2"/>
          <w:sz w:val="21"/>
          <w:szCs w:val="21"/>
          <w:lang w:val="en-US" w:eastAsia="zh-CN" w:bidi="ar-SA"/>
        </w:rPr>
        <w:t>备用品牌仅限主要品牌（</w:t>
      </w:r>
      <w:r>
        <w:rPr>
          <w:rFonts w:hint="default" w:ascii="宋体" w:hAnsi="宋体" w:eastAsia="宋体" w:cs="宋体"/>
          <w:i w:val="0"/>
          <w:iCs w:val="0"/>
          <w:color w:val="000000"/>
          <w:kern w:val="0"/>
          <w:sz w:val="20"/>
          <w:szCs w:val="20"/>
          <w:u w:val="none"/>
          <w:lang w:val="en-US" w:eastAsia="zh-CN" w:bidi="ar"/>
        </w:rPr>
        <w:t>重钢、攀钢、达钢</w:t>
      </w:r>
      <w:r>
        <w:rPr>
          <w:rFonts w:hint="eastAsia" w:ascii="Times New Roman" w:hAnsi="Times New Roman" w:cs="Times New Roman"/>
          <w:b w:val="0"/>
          <w:bCs w:val="0"/>
          <w:color w:val="auto"/>
          <w:kern w:val="2"/>
          <w:sz w:val="21"/>
          <w:szCs w:val="21"/>
          <w:lang w:val="en-US" w:eastAsia="zh-CN" w:bidi="ar-SA"/>
        </w:rPr>
        <w:t>）无法维持供应时临时使用，使用备用品牌供货前需提前向项目部报告。</w:t>
      </w:r>
    </w:p>
    <w:p>
      <w:pPr>
        <w:spacing w:line="480" w:lineRule="auto"/>
        <w:rPr>
          <w:rFonts w:hint="eastAsia" w:ascii="Times New Roman" w:hAnsi="Times New Roman" w:eastAsia="宋体" w:cs="宋体"/>
          <w:color w:val="auto"/>
          <w:sz w:val="28"/>
          <w:szCs w:val="28"/>
          <w:highlight w:val="none"/>
        </w:rPr>
      </w:pPr>
    </w:p>
    <w:p>
      <w:pPr>
        <w:spacing w:line="480" w:lineRule="auto"/>
        <w:rPr>
          <w:rFonts w:hint="eastAsia" w:ascii="Times New Roman" w:hAnsi="Times New Roman" w:eastAsia="宋体" w:cs="宋体"/>
          <w:color w:val="auto"/>
          <w:sz w:val="28"/>
          <w:szCs w:val="28"/>
          <w:highlight w:val="none"/>
        </w:rPr>
      </w:pPr>
    </w:p>
    <w:p>
      <w:pPr>
        <w:spacing w:line="480" w:lineRule="auto"/>
        <w:ind w:firstLine="7280" w:firstLineChars="2600"/>
        <w:rPr>
          <w:rFonts w:hint="eastAsia" w:ascii="Times New Roman" w:hAnsi="Times New Roman" w:cs="宋体"/>
          <w:color w:val="auto"/>
          <w:sz w:val="28"/>
          <w:szCs w:val="28"/>
          <w:highlight w:val="none"/>
          <w:lang w:val="en-US" w:eastAsia="zh-CN"/>
        </w:rPr>
      </w:pP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7280" w:firstLineChars="2600"/>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p>
      <w:pPr>
        <w:rPr>
          <w:rFonts w:hint="eastAsia" w:ascii="宋体" w:hAnsi="宋体" w:eastAsia="宋体" w:cs="宋体"/>
          <w:color w:val="auto"/>
          <w:sz w:val="28"/>
          <w:szCs w:val="28"/>
          <w:highlight w:val="none"/>
        </w:rPr>
        <w:sectPr>
          <w:pgSz w:w="16838" w:h="11906" w:orient="landscape"/>
          <w:pgMar w:top="1417" w:right="1417" w:bottom="1417" w:left="1417" w:header="567" w:footer="567" w:gutter="0"/>
          <w:pgNumType w:fmt="decimal"/>
          <w:cols w:space="0" w:num="1"/>
          <w:rtlGutter w:val="0"/>
          <w:docGrid w:type="lines" w:linePitch="312" w:charSpace="0"/>
        </w:sectPr>
      </w:pP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91392962"/>
      <w:bookmarkStart w:id="34" w:name="_Toc123786890"/>
      <w:bookmarkStart w:id="35" w:name="_Toc35342046"/>
      <w:bookmarkStart w:id="36" w:name="_Toc50864444"/>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江南立交改造二期工程一标段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钢筋材料采购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w:t>
      </w:r>
      <w:r>
        <w:rPr>
          <w:rFonts w:hint="eastAsia" w:ascii="Calibri" w:hAnsi="Calibri" w:eastAsia="宋体" w:cs="宋体"/>
          <w:b/>
          <w:color w:val="auto"/>
          <w:sz w:val="32"/>
          <w:szCs w:val="32"/>
          <w:highlight w:val="none"/>
          <w:u w:val="single"/>
          <w:lang w:val="en-US" w:eastAsia="zh-CN"/>
        </w:rPr>
        <w:t xml:space="preserve">2021-03-007 </w:t>
      </w:r>
      <w:r>
        <w:rPr>
          <w:rFonts w:hint="eastAsia" w:cs="宋体"/>
          <w:b/>
          <w:color w:val="auto"/>
          <w:sz w:val="32"/>
          <w:szCs w:val="32"/>
          <w:highlight w:val="none"/>
          <w:u w:val="single"/>
          <w:lang w:val="en-US" w:eastAsia="zh-CN"/>
        </w:rPr>
        <w:t xml:space="preserve"> </w:t>
      </w:r>
      <w:r>
        <w:rPr>
          <w:rFonts w:hint="eastAsia" w:cs="宋体"/>
          <w:b/>
          <w:color w:val="auto"/>
          <w:sz w:val="32"/>
          <w:szCs w:val="32"/>
          <w:highlight w:val="none"/>
          <w:lang w:val="en-US" w:eastAsia="zh-CN"/>
        </w:rPr>
        <w:t xml:space="preserve">        </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D6EE0"/>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7F3799"/>
    <w:rsid w:val="058073A1"/>
    <w:rsid w:val="058C5F78"/>
    <w:rsid w:val="059E372C"/>
    <w:rsid w:val="05A51D55"/>
    <w:rsid w:val="05B42724"/>
    <w:rsid w:val="05C70111"/>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773A68"/>
    <w:rsid w:val="11803AAC"/>
    <w:rsid w:val="118A11B8"/>
    <w:rsid w:val="11A453BE"/>
    <w:rsid w:val="11AF2AFD"/>
    <w:rsid w:val="11B34F7C"/>
    <w:rsid w:val="11F1672E"/>
    <w:rsid w:val="11F91BB0"/>
    <w:rsid w:val="120367CA"/>
    <w:rsid w:val="12045A80"/>
    <w:rsid w:val="122C57F1"/>
    <w:rsid w:val="122E7810"/>
    <w:rsid w:val="1231167F"/>
    <w:rsid w:val="123A65E2"/>
    <w:rsid w:val="125468AB"/>
    <w:rsid w:val="127D4522"/>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445EF6"/>
    <w:rsid w:val="166B681A"/>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753EA"/>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1FEC094E"/>
    <w:rsid w:val="200B310C"/>
    <w:rsid w:val="204202CA"/>
    <w:rsid w:val="20690BD3"/>
    <w:rsid w:val="20756377"/>
    <w:rsid w:val="208C6191"/>
    <w:rsid w:val="20E40EE0"/>
    <w:rsid w:val="210E268A"/>
    <w:rsid w:val="210F0C38"/>
    <w:rsid w:val="212B3427"/>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C14CEF"/>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BD6AAA"/>
    <w:rsid w:val="28C346EE"/>
    <w:rsid w:val="28E52B3F"/>
    <w:rsid w:val="28F87D6D"/>
    <w:rsid w:val="29023600"/>
    <w:rsid w:val="29050BE4"/>
    <w:rsid w:val="2905571F"/>
    <w:rsid w:val="29352BA0"/>
    <w:rsid w:val="29582EEA"/>
    <w:rsid w:val="2972665E"/>
    <w:rsid w:val="29794A14"/>
    <w:rsid w:val="298C4F4C"/>
    <w:rsid w:val="29967B83"/>
    <w:rsid w:val="299F730C"/>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BE94B6D"/>
    <w:rsid w:val="2C2D0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221E"/>
    <w:rsid w:val="2D815AD6"/>
    <w:rsid w:val="2D8B4301"/>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2775C"/>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E5AEA"/>
    <w:rsid w:val="34347205"/>
    <w:rsid w:val="34370771"/>
    <w:rsid w:val="34784310"/>
    <w:rsid w:val="34826468"/>
    <w:rsid w:val="34846FFC"/>
    <w:rsid w:val="34BE6C52"/>
    <w:rsid w:val="34D3255A"/>
    <w:rsid w:val="34DA6711"/>
    <w:rsid w:val="34E64C36"/>
    <w:rsid w:val="350566EE"/>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929D6"/>
    <w:rsid w:val="36AC1F61"/>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C954A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2F66E2"/>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3B3AC9"/>
    <w:rsid w:val="405C1452"/>
    <w:rsid w:val="406F0BED"/>
    <w:rsid w:val="40772B48"/>
    <w:rsid w:val="40930663"/>
    <w:rsid w:val="40931C79"/>
    <w:rsid w:val="4096564E"/>
    <w:rsid w:val="40D00338"/>
    <w:rsid w:val="40D15D68"/>
    <w:rsid w:val="40D27DE8"/>
    <w:rsid w:val="40DC43BA"/>
    <w:rsid w:val="40DF2DDD"/>
    <w:rsid w:val="40E523BA"/>
    <w:rsid w:val="40EC38DC"/>
    <w:rsid w:val="40F71BFA"/>
    <w:rsid w:val="40FA5E5C"/>
    <w:rsid w:val="40FE027E"/>
    <w:rsid w:val="410247E5"/>
    <w:rsid w:val="41285F60"/>
    <w:rsid w:val="413052D0"/>
    <w:rsid w:val="413B3BE3"/>
    <w:rsid w:val="41526D4D"/>
    <w:rsid w:val="4158798A"/>
    <w:rsid w:val="415E0190"/>
    <w:rsid w:val="41711FF3"/>
    <w:rsid w:val="41964068"/>
    <w:rsid w:val="419F2EB0"/>
    <w:rsid w:val="41AE20AF"/>
    <w:rsid w:val="41B9223B"/>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BC1605"/>
    <w:rsid w:val="43D3106D"/>
    <w:rsid w:val="43D543EE"/>
    <w:rsid w:val="43DA2D4B"/>
    <w:rsid w:val="43F17331"/>
    <w:rsid w:val="43F322E2"/>
    <w:rsid w:val="43F5020D"/>
    <w:rsid w:val="43FF25C3"/>
    <w:rsid w:val="44010BA8"/>
    <w:rsid w:val="440B2F94"/>
    <w:rsid w:val="441149F8"/>
    <w:rsid w:val="442D5D85"/>
    <w:rsid w:val="445825F6"/>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7D1C"/>
    <w:rsid w:val="4BBD11F9"/>
    <w:rsid w:val="4BC350D1"/>
    <w:rsid w:val="4BC35796"/>
    <w:rsid w:val="4BE03BF4"/>
    <w:rsid w:val="4C0E409B"/>
    <w:rsid w:val="4C2B5253"/>
    <w:rsid w:val="4C406DB3"/>
    <w:rsid w:val="4C692937"/>
    <w:rsid w:val="4C6C76F5"/>
    <w:rsid w:val="4C761493"/>
    <w:rsid w:val="4C7A087E"/>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0B0198"/>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9C1AD4"/>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607F37"/>
    <w:rsid w:val="517A6F77"/>
    <w:rsid w:val="517B2739"/>
    <w:rsid w:val="51A00C3E"/>
    <w:rsid w:val="51B04C54"/>
    <w:rsid w:val="51B22D55"/>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746F4"/>
    <w:rsid w:val="53D80FA7"/>
    <w:rsid w:val="53EF3068"/>
    <w:rsid w:val="54030CC7"/>
    <w:rsid w:val="5411242A"/>
    <w:rsid w:val="54154987"/>
    <w:rsid w:val="541E39DC"/>
    <w:rsid w:val="545D7F22"/>
    <w:rsid w:val="545E4801"/>
    <w:rsid w:val="54610255"/>
    <w:rsid w:val="5476353C"/>
    <w:rsid w:val="54952C5D"/>
    <w:rsid w:val="54C569C3"/>
    <w:rsid w:val="54CF65E4"/>
    <w:rsid w:val="54D07622"/>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8FA558A"/>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71E5"/>
    <w:rsid w:val="5E523644"/>
    <w:rsid w:val="5E8B159D"/>
    <w:rsid w:val="5E973DD6"/>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E55FE"/>
    <w:rsid w:val="621D705F"/>
    <w:rsid w:val="622560E0"/>
    <w:rsid w:val="622B75C8"/>
    <w:rsid w:val="62534A00"/>
    <w:rsid w:val="629A3C94"/>
    <w:rsid w:val="62A93E20"/>
    <w:rsid w:val="62BE7525"/>
    <w:rsid w:val="62C011B6"/>
    <w:rsid w:val="62C5181E"/>
    <w:rsid w:val="62D10EE2"/>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A26A45"/>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8B2EC7"/>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E0B6BF4"/>
    <w:rsid w:val="6E1453EA"/>
    <w:rsid w:val="6E582673"/>
    <w:rsid w:val="6E994E93"/>
    <w:rsid w:val="6EE20CD3"/>
    <w:rsid w:val="6EEC3529"/>
    <w:rsid w:val="6EF27DD6"/>
    <w:rsid w:val="6EFC357D"/>
    <w:rsid w:val="6F025190"/>
    <w:rsid w:val="6F064336"/>
    <w:rsid w:val="6F096638"/>
    <w:rsid w:val="6F20396C"/>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696379"/>
    <w:rsid w:val="717A3FED"/>
    <w:rsid w:val="718E63D9"/>
    <w:rsid w:val="71973681"/>
    <w:rsid w:val="719D0D28"/>
    <w:rsid w:val="71A53ABE"/>
    <w:rsid w:val="71AF62A5"/>
    <w:rsid w:val="71C468B2"/>
    <w:rsid w:val="71DC2139"/>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6FD20DB"/>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993CC0"/>
    <w:rsid w:val="78D70FA4"/>
    <w:rsid w:val="78E94140"/>
    <w:rsid w:val="78EF6C2F"/>
    <w:rsid w:val="78F52E86"/>
    <w:rsid w:val="78FB30E3"/>
    <w:rsid w:val="790E1189"/>
    <w:rsid w:val="790F5E36"/>
    <w:rsid w:val="795557C0"/>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36788"/>
    <w:rsid w:val="7C1F5158"/>
    <w:rsid w:val="7C490470"/>
    <w:rsid w:val="7C497333"/>
    <w:rsid w:val="7C582263"/>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0</TotalTime>
  <ScaleCrop>false</ScaleCrop>
  <LinksUpToDate>false</LinksUpToDate>
  <CharactersWithSpaces>16163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2021-05-28T07:45:49Z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533FB6C8B8864DCBAE62ACF30660DF6D</vt:lpwstr>
  </property>
  <property fmtid="{D5CDD505-2E9C-101B-9397-08002B2CF9AE}" pid="4" name="KSOSaveFontToCloudKey">
    <vt:lpwstr>500924187_cloud</vt:lpwstr>
  </property>
</Properties>
</file>