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spacing w:line="360" w:lineRule="auto"/>
        <w:jc w:val="center"/>
        <w:rPr>
          <w:rFonts w:hint="eastAsia" w:ascii="黑体" w:hAnsi="宋体" w:eastAsia="黑体"/>
          <w:b/>
          <w:sz w:val="44"/>
          <w:szCs w:val="44"/>
          <w:lang w:val="en-US" w:eastAsia="zh-CN"/>
        </w:rPr>
      </w:pPr>
      <w:r>
        <w:rPr>
          <w:rFonts w:hint="eastAsia" w:ascii="黑体" w:hAnsi="宋体" w:eastAsia="黑体"/>
          <w:b/>
          <w:sz w:val="44"/>
          <w:szCs w:val="44"/>
          <w:lang w:val="en-US" w:eastAsia="zh-CN"/>
        </w:rPr>
        <w:t>璧山国家高新区景山人才培育中心</w:t>
      </w:r>
    </w:p>
    <w:p>
      <w:pPr>
        <w:tabs>
          <w:tab w:val="left" w:pos="670"/>
          <w:tab w:val="center" w:pos="4252"/>
        </w:tabs>
        <w:spacing w:line="360" w:lineRule="auto"/>
        <w:jc w:val="center"/>
        <w:rPr>
          <w:rFonts w:ascii="黑体" w:hAnsi="宋体" w:eastAsia="黑体" w:cs="黑体"/>
          <w:color w:val="FF0000"/>
          <w:sz w:val="96"/>
          <w:szCs w:val="96"/>
        </w:rPr>
      </w:pPr>
      <w:r>
        <w:rPr>
          <w:rFonts w:hint="eastAsia" w:ascii="黑体" w:hAnsi="宋体" w:eastAsia="黑体"/>
          <w:b/>
          <w:sz w:val="44"/>
          <w:szCs w:val="44"/>
          <w:lang w:val="en-US" w:eastAsia="zh-CN"/>
        </w:rPr>
        <w:t>基础设施建设项目钢筋桁架混凝土叠合楼板底板采购</w:t>
      </w:r>
    </w:p>
    <w:p>
      <w:pPr>
        <w:tabs>
          <w:tab w:val="left" w:pos="670"/>
          <w:tab w:val="center" w:pos="4252"/>
        </w:tabs>
        <w:spacing w:line="360" w:lineRule="auto"/>
        <w:jc w:val="center"/>
        <w:outlineLvl w:val="3"/>
        <w:rPr>
          <w:rFonts w:ascii="黑体" w:hAnsi="宋体" w:eastAsia="黑体" w:cs="黑体"/>
          <w:color w:val="000000"/>
          <w:sz w:val="96"/>
          <w:szCs w:val="96"/>
        </w:rPr>
      </w:pPr>
      <w:r>
        <w:rPr>
          <w:rFonts w:hint="eastAsia" w:ascii="黑体" w:hAnsi="宋体" w:eastAsia="黑体" w:cs="黑体"/>
          <w:color w:val="000000"/>
          <w:sz w:val="96"/>
          <w:szCs w:val="96"/>
        </w:rPr>
        <w:t>企业内部</w:t>
      </w:r>
    </w:p>
    <w:p>
      <w:pPr>
        <w:tabs>
          <w:tab w:val="left" w:pos="670"/>
          <w:tab w:val="center" w:pos="4252"/>
        </w:tabs>
        <w:spacing w:line="360" w:lineRule="auto"/>
        <w:jc w:val="center"/>
        <w:outlineLvl w:val="3"/>
        <w:rPr>
          <w:rFonts w:ascii="黑体" w:hAnsi="宋体" w:eastAsia="黑体" w:cs="黑体"/>
          <w:color w:val="000000"/>
          <w:sz w:val="96"/>
          <w:szCs w:val="96"/>
        </w:rPr>
      </w:pPr>
      <w:r>
        <w:rPr>
          <w:rFonts w:hint="eastAsia" w:ascii="黑体" w:hAnsi="宋体" w:eastAsia="黑体" w:cs="黑体"/>
          <w:color w:val="000000"/>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hint="default" w:ascii="宋体" w:hAnsi="宋体" w:eastAsia="宋体" w:cs="宋体"/>
          <w:sz w:val="28"/>
          <w:lang w:val="en-US" w:eastAsia="zh-CN"/>
        </w:rPr>
      </w:pPr>
      <w:r>
        <w:rPr>
          <w:rFonts w:hint="eastAsia" w:ascii="宋体" w:hAnsi="宋体" w:cs="宋体"/>
          <w:sz w:val="28"/>
        </w:rPr>
        <w:t>招采文件编号：</w:t>
      </w:r>
      <w:r>
        <w:rPr>
          <w:rFonts w:hint="eastAsia" w:ascii="宋体" w:hAnsi="宋体" w:cs="宋体"/>
          <w:sz w:val="28"/>
          <w:lang w:val="en-US" w:eastAsia="zh-CN"/>
        </w:rPr>
        <w:t>2021-03-1048</w:t>
      </w:r>
      <w:bookmarkStart w:id="23" w:name="_GoBack"/>
      <w:bookmarkEnd w:id="23"/>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pPr>
        <w:snapToGrid w:val="0"/>
        <w:spacing w:line="360" w:lineRule="auto"/>
        <w:jc w:val="center"/>
        <w:outlineLvl w:val="3"/>
        <w:rPr>
          <w:rFonts w:ascii="宋体" w:hAnsi="宋体" w:cs="宋体"/>
          <w:b/>
          <w:color w:val="000000"/>
          <w:sz w:val="30"/>
        </w:rPr>
      </w:pPr>
      <w:r>
        <w:rPr>
          <w:rFonts w:hint="eastAsia" w:ascii="宋体" w:hAnsi="宋体"/>
          <w:b/>
          <w:sz w:val="30"/>
        </w:rPr>
        <w:br w:type="page"/>
      </w:r>
      <w:r>
        <w:rPr>
          <w:rFonts w:hint="eastAsia" w:ascii="宋体" w:hAnsi="宋体" w:cs="宋体"/>
          <w:b/>
          <w:color w:val="000000"/>
          <w:sz w:val="30"/>
        </w:rPr>
        <w:t>目   录</w:t>
      </w:r>
    </w:p>
    <w:p>
      <w:pPr>
        <w:snapToGrid w:val="0"/>
        <w:spacing w:line="360" w:lineRule="auto"/>
        <w:jc w:val="center"/>
        <w:rPr>
          <w:rFonts w:ascii="宋体" w:hAnsi="宋体" w:cs="宋体"/>
          <w:b/>
          <w:color w:val="000000"/>
          <w:sz w:val="30"/>
        </w:rPr>
      </w:pP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第一部分   投标邀请</w:t>
      </w: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第二部分   投标人须知前附表</w:t>
      </w: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第三部分   评审方法</w:t>
      </w: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第四部分   投标人须知</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一、  说明</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二、  招采文件</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三、  投标文件</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四、  投标文件的递交</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五、  开标、评审</w:t>
      </w:r>
    </w:p>
    <w:p>
      <w:pPr>
        <w:snapToGrid w:val="0"/>
        <w:spacing w:line="480" w:lineRule="auto"/>
        <w:ind w:firstLine="1411" w:firstLineChars="504"/>
        <w:rPr>
          <w:rFonts w:ascii="宋体" w:hAnsi="宋体" w:cs="宋体"/>
          <w:color w:val="000000"/>
          <w:sz w:val="28"/>
        </w:rPr>
      </w:pPr>
      <w:r>
        <w:rPr>
          <w:rFonts w:hint="eastAsia" w:ascii="宋体" w:hAnsi="宋体" w:cs="宋体"/>
          <w:color w:val="000000"/>
          <w:sz w:val="28"/>
        </w:rPr>
        <w:t>六、  中选及合同签订</w:t>
      </w: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第五部分   合同范本</w:t>
      </w:r>
    </w:p>
    <w:p>
      <w:pPr>
        <w:snapToGrid w:val="0"/>
        <w:spacing w:line="480" w:lineRule="auto"/>
        <w:ind w:firstLine="560" w:firstLineChars="200"/>
        <w:rPr>
          <w:rFonts w:ascii="宋体" w:hAnsi="宋体" w:cs="宋体"/>
          <w:color w:val="000000"/>
          <w:sz w:val="28"/>
        </w:rPr>
      </w:pPr>
      <w:r>
        <w:rPr>
          <w:rFonts w:hint="eastAsia" w:ascii="宋体" w:hAnsi="宋体" w:cs="宋体"/>
          <w:color w:val="000000"/>
          <w:sz w:val="28"/>
        </w:rPr>
        <w:t>第六部分   投标文件格式</w:t>
      </w:r>
    </w:p>
    <w:p>
      <w:pPr>
        <w:snapToGrid w:val="0"/>
        <w:spacing w:line="360" w:lineRule="auto"/>
        <w:jc w:val="center"/>
        <w:outlineLvl w:val="3"/>
        <w:rPr>
          <w:rFonts w:ascii="宋体" w:hAnsi="宋体" w:cs="宋体"/>
          <w:b/>
          <w:color w:val="000000"/>
          <w:sz w:val="30"/>
        </w:rPr>
      </w:pPr>
      <w:r>
        <w:rPr>
          <w:rFonts w:hint="eastAsia" w:ascii="宋体" w:hAnsi="宋体"/>
          <w:color w:val="000000"/>
        </w:rPr>
        <w:br w:type="page"/>
      </w:r>
      <w:r>
        <w:rPr>
          <w:rFonts w:hint="eastAsia" w:ascii="宋体" w:hAnsi="宋体" w:cs="宋体"/>
          <w:b/>
          <w:color w:val="000000"/>
          <w:sz w:val="30"/>
        </w:rPr>
        <w:t>第一部分 投标邀请</w:t>
      </w:r>
    </w:p>
    <w:p>
      <w:pPr>
        <w:snapToGrid w:val="0"/>
        <w:spacing w:line="360" w:lineRule="auto"/>
        <w:ind w:firstLine="560" w:firstLineChars="200"/>
        <w:rPr>
          <w:rFonts w:ascii="宋体" w:hAnsi="宋体" w:cs="宋体"/>
          <w:color w:val="000000"/>
          <w:sz w:val="28"/>
        </w:rPr>
      </w:pPr>
      <w:r>
        <w:rPr>
          <w:rFonts w:hint="eastAsia" w:ascii="宋体" w:hAnsi="宋体" w:cs="宋体"/>
          <w:color w:val="000000"/>
          <w:sz w:val="28"/>
        </w:rPr>
        <w:t>重庆对外建设（集团）有限公司就</w:t>
      </w:r>
      <w:r>
        <w:rPr>
          <w:rFonts w:hint="eastAsia" w:ascii="宋体" w:hAnsi="宋体" w:cs="宋体"/>
          <w:bCs/>
          <w:sz w:val="28"/>
          <w:u w:val="single"/>
          <w:lang w:val="en-US" w:eastAsia="zh-CN"/>
        </w:rPr>
        <w:t>璧山国家高新区景山人才培育中心基础设施建设项目钢筋桁架混凝土叠合楼板底板采购</w:t>
      </w:r>
      <w:r>
        <w:rPr>
          <w:rFonts w:hint="eastAsia" w:ascii="宋体" w:hAnsi="宋体" w:cs="宋体"/>
          <w:color w:val="000000"/>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sz w:val="28"/>
        </w:rPr>
      </w:pPr>
      <w:r>
        <w:rPr>
          <w:rFonts w:hint="eastAsia" w:ascii="宋体" w:hAnsi="宋体" w:cs="宋体"/>
          <w:bCs/>
          <w:color w:val="000000"/>
          <w:sz w:val="28"/>
        </w:rPr>
        <w:t>1、项目名称：</w:t>
      </w:r>
      <w:r>
        <w:rPr>
          <w:rFonts w:hint="eastAsia" w:ascii="宋体" w:hAnsi="宋体" w:cs="宋体"/>
          <w:bCs/>
          <w:sz w:val="28"/>
          <w:u w:val="single"/>
          <w:lang w:val="en-US" w:eastAsia="zh-CN"/>
        </w:rPr>
        <w:t>璧山国家高新区景山人才培育中心基础设施建设项目</w:t>
      </w:r>
      <w:r>
        <w:rPr>
          <w:rFonts w:hint="eastAsia" w:ascii="宋体" w:hAnsi="宋体" w:cs="宋体"/>
          <w:color w:val="000000"/>
          <w:sz w:val="28"/>
        </w:rPr>
        <w:t>。</w:t>
      </w:r>
    </w:p>
    <w:p>
      <w:pPr>
        <w:snapToGrid w:val="0"/>
        <w:spacing w:line="360" w:lineRule="auto"/>
        <w:ind w:firstLine="560" w:firstLineChars="200"/>
        <w:jc w:val="left"/>
        <w:rPr>
          <w:rFonts w:hint="eastAsia" w:ascii="宋体" w:hAnsi="宋体" w:cs="宋体"/>
          <w:bCs/>
          <w:color w:val="000000"/>
          <w:sz w:val="28"/>
        </w:rPr>
      </w:pPr>
      <w:r>
        <w:rPr>
          <w:rFonts w:hint="eastAsia" w:ascii="宋体" w:hAnsi="宋体" w:cs="宋体"/>
          <w:bCs/>
          <w:color w:val="000000"/>
          <w:sz w:val="28"/>
        </w:rPr>
        <w:t>2、型号/技术规格、供货数量：</w:t>
      </w:r>
      <w:r>
        <w:rPr>
          <w:rFonts w:hint="eastAsia" w:ascii="宋体" w:hAnsi="宋体" w:cs="宋体"/>
          <w:bCs/>
          <w:color w:val="000000"/>
          <w:sz w:val="28"/>
          <w:lang w:val="en-US" w:eastAsia="zh-CN"/>
        </w:rPr>
        <w:t>钢筋桁架混凝土叠合楼板底板。</w:t>
      </w:r>
      <w:r>
        <w:rPr>
          <w:rFonts w:hint="eastAsia" w:ascii="宋体" w:hAnsi="宋体" w:cs="宋体"/>
          <w:bCs/>
          <w:color w:val="000000"/>
          <w:sz w:val="28"/>
        </w:rPr>
        <w:t>共</w:t>
      </w:r>
      <w:r>
        <w:rPr>
          <w:rFonts w:hint="eastAsia" w:ascii="宋体" w:hAnsi="宋体" w:cs="宋体"/>
          <w:bCs/>
          <w:color w:val="000000"/>
          <w:sz w:val="28"/>
          <w:lang w:val="en-US" w:eastAsia="zh-CN"/>
        </w:rPr>
        <w:t>计约2500m³</w:t>
      </w:r>
      <w:r>
        <w:rPr>
          <w:rFonts w:hint="eastAsia" w:ascii="宋体" w:hAnsi="宋体" w:cs="宋体"/>
          <w:bCs/>
          <w:color w:val="000000"/>
          <w:sz w:val="28"/>
        </w:rPr>
        <w:t>。</w:t>
      </w:r>
    </w:p>
    <w:p>
      <w:pPr>
        <w:snapToGrid w:val="0"/>
        <w:spacing w:line="360" w:lineRule="auto"/>
        <w:ind w:firstLine="560" w:firstLineChars="200"/>
        <w:jc w:val="left"/>
        <w:rPr>
          <w:rFonts w:ascii="宋体" w:hAnsi="宋体" w:cs="宋体"/>
          <w:bCs/>
          <w:color w:val="000000"/>
          <w:sz w:val="28"/>
        </w:rPr>
      </w:pPr>
      <w:r>
        <w:rPr>
          <w:rFonts w:hint="eastAsia" w:ascii="宋体" w:hAnsi="宋体" w:cs="宋体"/>
          <w:bCs/>
          <w:color w:val="000000"/>
          <w:sz w:val="28"/>
        </w:rPr>
        <w:t>3、供货周期：具体时间按照实际采购时间为准。</w:t>
      </w:r>
    </w:p>
    <w:p>
      <w:pPr>
        <w:snapToGrid w:val="0"/>
        <w:spacing w:line="360" w:lineRule="auto"/>
        <w:ind w:firstLine="560" w:firstLineChars="200"/>
        <w:jc w:val="left"/>
        <w:rPr>
          <w:rFonts w:ascii="宋体" w:hAnsi="宋体" w:cs="宋体"/>
          <w:bCs/>
          <w:color w:val="000000"/>
          <w:sz w:val="28"/>
        </w:rPr>
      </w:pPr>
      <w:r>
        <w:rPr>
          <w:rFonts w:hint="eastAsia" w:ascii="宋体" w:hAnsi="宋体" w:cs="宋体"/>
          <w:bCs/>
          <w:color w:val="000000"/>
          <w:sz w:val="28"/>
        </w:rPr>
        <w:t>4、供货地点：</w:t>
      </w:r>
      <w:r>
        <w:rPr>
          <w:rFonts w:hint="eastAsia" w:ascii="宋体" w:hAnsi="宋体"/>
          <w:sz w:val="28"/>
          <w:szCs w:val="28"/>
          <w:u w:val="single"/>
          <w:lang w:val="en-US" w:eastAsia="zh-CN"/>
        </w:rPr>
        <w:t>璧山区城北小学东侧地块及璧城组团北部</w:t>
      </w:r>
      <w:r>
        <w:rPr>
          <w:rFonts w:hint="eastAsia" w:ascii="宋体" w:hAnsi="宋体" w:cs="宋体"/>
          <w:bCs/>
          <w:color w:val="000000"/>
          <w:sz w:val="28"/>
        </w:rPr>
        <w:t>。</w:t>
      </w:r>
    </w:p>
    <w:p>
      <w:pPr>
        <w:snapToGrid w:val="0"/>
        <w:spacing w:line="360" w:lineRule="auto"/>
        <w:ind w:firstLine="560" w:firstLineChars="200"/>
        <w:rPr>
          <w:rFonts w:ascii="宋体" w:hAnsi="宋体" w:cs="宋体"/>
          <w:bCs/>
          <w:color w:val="000000"/>
          <w:sz w:val="28"/>
        </w:rPr>
      </w:pPr>
      <w:r>
        <w:rPr>
          <w:rFonts w:hint="eastAsia" w:ascii="宋体" w:hAnsi="宋体" w:cs="宋体"/>
          <w:bCs/>
          <w:color w:val="000000"/>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sz w:val="28"/>
          <w:lang w:val="en-US" w:eastAsia="zh-CN"/>
        </w:rPr>
      </w:pPr>
      <w:r>
        <w:rPr>
          <w:rFonts w:hint="eastAsia" w:ascii="宋体" w:hAnsi="宋体" w:cs="宋体"/>
          <w:bCs/>
          <w:color w:val="000000"/>
          <w:sz w:val="28"/>
        </w:rPr>
        <w:t>6、招采文件发放时间：</w:t>
      </w:r>
      <w:r>
        <w:rPr>
          <w:rFonts w:hint="eastAsia" w:ascii="宋体" w:hAnsi="宋体" w:cs="宋体"/>
          <w:bCs/>
          <w:color w:val="000000"/>
          <w:sz w:val="28"/>
          <w:lang w:val="en-US" w:eastAsia="zh-CN"/>
        </w:rPr>
        <w:t>2021年6月17日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sz w:val="28"/>
        </w:rPr>
      </w:pPr>
      <w:r>
        <w:rPr>
          <w:rFonts w:hint="eastAsia" w:ascii="宋体" w:hAnsi="宋体" w:cs="宋体"/>
          <w:bCs/>
          <w:color w:val="000000"/>
          <w:sz w:val="28"/>
        </w:rPr>
        <w:t>8、递交投标文件截止时间、地点：详见《投标人须知前附表》。</w:t>
      </w:r>
    </w:p>
    <w:p>
      <w:pPr>
        <w:snapToGrid w:val="0"/>
        <w:spacing w:line="360" w:lineRule="auto"/>
        <w:ind w:firstLine="560" w:firstLineChars="200"/>
        <w:rPr>
          <w:rFonts w:ascii="宋体" w:hAnsi="宋体" w:cs="宋体"/>
          <w:bCs/>
          <w:color w:val="000000"/>
          <w:sz w:val="28"/>
        </w:rPr>
      </w:pPr>
      <w:r>
        <w:rPr>
          <w:rFonts w:hint="eastAsia" w:ascii="宋体" w:hAnsi="宋体" w:cs="宋体"/>
          <w:bCs/>
          <w:color w:val="000000"/>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sz w:val="28"/>
        </w:rPr>
      </w:pPr>
      <w:r>
        <w:rPr>
          <w:rFonts w:hint="eastAsia" w:ascii="宋体" w:hAnsi="宋体" w:cs="宋体"/>
          <w:bCs/>
          <w:color w:val="000000"/>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sz w:val="28"/>
        </w:rPr>
      </w:pPr>
      <w:r>
        <w:rPr>
          <w:rFonts w:hint="eastAsia" w:ascii="宋体" w:hAnsi="宋体" w:cs="宋体"/>
          <w:bCs/>
          <w:color w:val="000000"/>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6</w:t>
      </w:r>
      <w:r>
        <w:rPr>
          <w:rFonts w:hint="eastAsia" w:ascii="宋体" w:hAnsi="宋体" w:cs="宋体"/>
          <w:sz w:val="28"/>
          <w:u w:val="single"/>
        </w:rPr>
        <w:t>月</w:t>
      </w:r>
      <w:r>
        <w:rPr>
          <w:rFonts w:hint="eastAsia" w:ascii="宋体" w:hAnsi="宋体" w:cs="宋体"/>
          <w:sz w:val="28"/>
          <w:u w:val="single"/>
          <w:lang w:val="en-US" w:eastAsia="zh-CN"/>
        </w:rPr>
        <w:t>17</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sz w:val="28"/>
        </w:rPr>
      </w:pPr>
      <w:r>
        <w:rPr>
          <w:rFonts w:hint="eastAsia" w:ascii="宋体" w:hAnsi="宋体" w:cs="宋体"/>
          <w:bCs/>
          <w:color w:val="000000"/>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sz w:val="28"/>
        </w:rPr>
      </w:pPr>
      <w:r>
        <w:rPr>
          <w:rFonts w:hint="eastAsia" w:ascii="宋体" w:hAnsi="宋体" w:cs="宋体"/>
          <w:bCs/>
          <w:color w:val="000000"/>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sz w:val="30"/>
        </w:rPr>
      </w:pPr>
      <w:r>
        <w:rPr>
          <w:rFonts w:hint="eastAsia" w:ascii="宋体" w:hAnsi="宋体"/>
          <w:color w:val="000000"/>
          <w:sz w:val="28"/>
        </w:rPr>
        <w:br w:type="page"/>
      </w:r>
      <w:r>
        <w:rPr>
          <w:rFonts w:hint="eastAsia" w:ascii="宋体" w:hAnsi="宋体" w:cs="宋体"/>
          <w:b/>
          <w:color w:val="000000"/>
          <w:sz w:val="30"/>
        </w:rPr>
        <w:t>第二部分  投标人须知前附表</w:t>
      </w:r>
    </w:p>
    <w:tbl>
      <w:tblPr>
        <w:tblStyle w:val="3"/>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358"/>
              <w:rPr>
                <w:rFonts w:ascii="宋体" w:hAnsi="宋体" w:cs="宋体"/>
                <w:color w:val="000000"/>
                <w:szCs w:val="21"/>
              </w:rPr>
            </w:pPr>
            <w:r>
              <w:rPr>
                <w:rFonts w:hint="eastAsia" w:ascii="宋体" w:hAnsi="宋体" w:cs="宋体"/>
                <w:color w:val="000000"/>
                <w:szCs w:val="21"/>
              </w:rPr>
              <w:t>序号</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内    容</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napToGrid w:val="0"/>
              <w:spacing w:line="360" w:lineRule="auto"/>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9" w:hRule="atLeast"/>
        </w:trPr>
        <w:tc>
          <w:tcPr>
            <w:tcW w:w="735" w:type="dxa"/>
            <w:tcBorders>
              <w:top w:val="single" w:color="auto" w:sz="4" w:space="0"/>
              <w:left w:val="single" w:color="auto" w:sz="4" w:space="0"/>
              <w:bottom w:val="nil"/>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w:t>
            </w:r>
          </w:p>
        </w:tc>
        <w:tc>
          <w:tcPr>
            <w:tcW w:w="2310" w:type="dxa"/>
            <w:tcBorders>
              <w:top w:val="single" w:color="auto" w:sz="4" w:space="0"/>
              <w:left w:val="single" w:color="auto" w:sz="4" w:space="0"/>
              <w:bottom w:val="nil"/>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供货项目/地点</w:t>
            </w:r>
          </w:p>
        </w:tc>
        <w:tc>
          <w:tcPr>
            <w:tcW w:w="5723" w:type="dxa"/>
            <w:tcBorders>
              <w:top w:val="single" w:color="auto" w:sz="4" w:space="0"/>
              <w:left w:val="single" w:color="auto" w:sz="4" w:space="0"/>
              <w:bottom w:val="nil"/>
              <w:right w:val="single" w:color="auto" w:sz="4" w:space="0"/>
            </w:tcBorders>
            <w:noWrap w:val="0"/>
            <w:vAlign w:val="center"/>
          </w:tcPr>
          <w:p>
            <w:pPr>
              <w:tabs>
                <w:tab w:val="right" w:pos="8674"/>
              </w:tabs>
              <w:snapToGrid w:val="0"/>
              <w:spacing w:line="240" w:lineRule="auto"/>
              <w:jc w:val="left"/>
              <w:rPr>
                <w:rFonts w:ascii="宋体" w:hAnsi="宋体" w:eastAsia="宋体"/>
                <w:szCs w:val="21"/>
              </w:rPr>
            </w:pPr>
            <w:r>
              <w:rPr>
                <w:rFonts w:hint="eastAsia" w:ascii="宋体" w:hAnsi="宋体" w:cs="宋体"/>
                <w:color w:val="000000"/>
                <w:szCs w:val="21"/>
              </w:rPr>
              <w:t>项目：</w:t>
            </w:r>
            <w:r>
              <w:rPr>
                <w:rFonts w:hint="eastAsia" w:ascii="宋体" w:hAnsi="宋体" w:cs="宋体"/>
                <w:color w:val="000000"/>
                <w:szCs w:val="21"/>
                <w:lang w:val="en-US" w:eastAsia="zh-CN"/>
              </w:rPr>
              <w:t xml:space="preserve">璧山国家高新区景山人才培育中心基础设施建设项目 </w:t>
            </w: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cs="宋体"/>
                <w:szCs w:val="21"/>
              </w:rPr>
              <w:t>地点：</w:t>
            </w:r>
            <w:r>
              <w:rPr>
                <w:rFonts w:hint="eastAsia" w:ascii="宋体" w:hAnsi="宋体" w:cs="宋体"/>
                <w:szCs w:val="21"/>
                <w:lang w:val="en-US" w:eastAsia="zh-CN"/>
              </w:rPr>
              <w:t>璧山区城北小学东侧地块及璧城组团北部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2" w:hRule="atLeast"/>
        </w:trPr>
        <w:tc>
          <w:tcPr>
            <w:tcW w:w="735" w:type="dxa"/>
            <w:tcBorders>
              <w:top w:val="single" w:color="auto" w:sz="4" w:space="0"/>
              <w:left w:val="single" w:color="auto" w:sz="4" w:space="0"/>
              <w:bottom w:val="nil"/>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2310" w:type="dxa"/>
            <w:tcBorders>
              <w:top w:val="single" w:color="auto" w:sz="4" w:space="0"/>
              <w:left w:val="single" w:color="auto" w:sz="4" w:space="0"/>
              <w:bottom w:val="nil"/>
              <w:right w:val="single" w:color="auto" w:sz="4" w:space="0"/>
            </w:tcBorders>
            <w:noWrap w:val="0"/>
            <w:vAlign w:val="center"/>
          </w:tcPr>
          <w:p>
            <w:pPr>
              <w:snapToGrid w:val="0"/>
              <w:spacing w:line="240" w:lineRule="auto"/>
              <w:jc w:val="center"/>
              <w:rPr>
                <w:rFonts w:ascii="宋体" w:hAnsi="宋体" w:cs="宋体"/>
                <w:color w:val="000000"/>
                <w:szCs w:val="21"/>
              </w:rPr>
            </w:pPr>
            <w:r>
              <w:rPr>
                <w:rFonts w:hint="eastAsia" w:ascii="宋体" w:hAnsi="宋体" w:cs="宋体"/>
                <w:color w:val="000000"/>
                <w:szCs w:val="21"/>
              </w:rPr>
              <w:t>招采材料</w:t>
            </w:r>
          </w:p>
          <w:p>
            <w:pPr>
              <w:snapToGrid w:val="0"/>
              <w:spacing w:line="240" w:lineRule="auto"/>
              <w:jc w:val="center"/>
              <w:rPr>
                <w:rFonts w:ascii="宋体" w:hAnsi="宋体" w:cs="宋体"/>
                <w:color w:val="000000"/>
                <w:szCs w:val="21"/>
              </w:rPr>
            </w:pPr>
            <w:r>
              <w:rPr>
                <w:rFonts w:hint="eastAsia" w:ascii="宋体" w:hAnsi="宋体" w:cs="宋体"/>
                <w:color w:val="000000"/>
                <w:szCs w:val="21"/>
              </w:rPr>
              <w:t>名称及型号</w:t>
            </w:r>
          </w:p>
        </w:tc>
        <w:tc>
          <w:tcPr>
            <w:tcW w:w="5723" w:type="dxa"/>
            <w:tcBorders>
              <w:top w:val="single" w:color="auto" w:sz="4" w:space="0"/>
              <w:left w:val="single" w:color="auto" w:sz="4" w:space="0"/>
              <w:bottom w:val="nil"/>
              <w:right w:val="single" w:color="auto" w:sz="4" w:space="0"/>
            </w:tcBorders>
            <w:noWrap w:val="0"/>
            <w:vAlign w:val="center"/>
          </w:tcPr>
          <w:p>
            <w:pPr>
              <w:snapToGrid w:val="0"/>
              <w:spacing w:line="240" w:lineRule="auto"/>
              <w:rPr>
                <w:rFonts w:ascii="宋体" w:hAnsi="宋体" w:cs="宋体"/>
                <w:color w:val="000000"/>
                <w:szCs w:val="21"/>
              </w:rPr>
            </w:pPr>
            <w:r>
              <w:rPr>
                <w:rFonts w:hint="eastAsia" w:ascii="宋体" w:hAnsi="宋体" w:eastAsia="宋体" w:cs="Times New Roman"/>
                <w:sz w:val="21"/>
                <w:szCs w:val="21"/>
                <w:lang w:val="en-US" w:eastAsia="zh-CN"/>
              </w:rPr>
              <w:t>钢筋桁架混凝土叠合楼板底板</w:t>
            </w:r>
            <w:r>
              <w:rPr>
                <w:rFonts w:hint="eastAsia" w:ascii="宋体" w:hAnsi="宋体" w:cs="Times New Roman"/>
                <w:sz w:val="21"/>
                <w:szCs w:val="21"/>
                <w:lang w:val="en-US" w:eastAsia="zh-CN"/>
              </w:rPr>
              <w:t>，</w:t>
            </w:r>
            <w:r>
              <w:rPr>
                <w:rFonts w:hint="eastAsia" w:ascii="宋体" w:hAnsi="宋体" w:eastAsia="宋体" w:cs="宋体"/>
                <w:color w:val="000000"/>
                <w:kern w:val="0"/>
                <w:sz w:val="21"/>
                <w:szCs w:val="21"/>
                <w:highlight w:val="none"/>
                <w:u w:val="none"/>
                <w:lang w:val="en-US" w:eastAsia="zh-CN" w:bidi="ar"/>
              </w:rPr>
              <w:t>混凝土型号C30；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35" w:type="dxa"/>
            <w:tcBorders>
              <w:top w:val="single" w:color="auto" w:sz="4" w:space="0"/>
              <w:left w:val="single" w:color="auto" w:sz="4" w:space="0"/>
              <w:bottom w:val="nil"/>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3</w:t>
            </w:r>
          </w:p>
        </w:tc>
        <w:tc>
          <w:tcPr>
            <w:tcW w:w="2310" w:type="dxa"/>
            <w:tcBorders>
              <w:top w:val="single" w:color="auto" w:sz="4" w:space="0"/>
              <w:left w:val="single" w:color="auto" w:sz="4" w:space="0"/>
              <w:bottom w:val="nil"/>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供货数量及时间</w:t>
            </w:r>
          </w:p>
        </w:tc>
        <w:tc>
          <w:tcPr>
            <w:tcW w:w="5723" w:type="dxa"/>
            <w:tcBorders>
              <w:top w:val="single" w:color="auto" w:sz="4" w:space="0"/>
              <w:left w:val="single" w:color="auto" w:sz="4" w:space="0"/>
              <w:bottom w:val="nil"/>
              <w:right w:val="single" w:color="auto" w:sz="4" w:space="0"/>
            </w:tcBorders>
            <w:noWrap w:val="0"/>
            <w:vAlign w:val="center"/>
          </w:tcPr>
          <w:p>
            <w:pPr>
              <w:tabs>
                <w:tab w:val="right" w:pos="8674"/>
              </w:tabs>
              <w:snapToGrid w:val="0"/>
              <w:spacing w:line="360" w:lineRule="auto"/>
              <w:rPr>
                <w:rFonts w:ascii="宋体" w:hAnsi="宋体" w:cs="宋体"/>
                <w:color w:val="000000"/>
                <w:szCs w:val="21"/>
              </w:rPr>
            </w:pPr>
            <w:r>
              <w:rPr>
                <w:rFonts w:hint="eastAsia" w:ascii="宋体" w:hAnsi="宋体" w:eastAsia="宋体"/>
                <w:szCs w:val="21"/>
              </w:rPr>
              <w:t>共计</w:t>
            </w:r>
            <w:r>
              <w:rPr>
                <w:rFonts w:hint="eastAsia" w:ascii="宋体" w:hAnsi="宋体" w:eastAsia="宋体"/>
                <w:szCs w:val="21"/>
                <w:lang w:val="en-US" w:eastAsia="zh-CN"/>
              </w:rPr>
              <w:t>2500m³</w:t>
            </w:r>
            <w:r>
              <w:rPr>
                <w:rFonts w:hint="eastAsia" w:ascii="宋体" w:hAnsi="宋体" w:cs="宋体"/>
                <w:color w:val="000000"/>
                <w:szCs w:val="21"/>
              </w:rPr>
              <w:t xml:space="preserve"> , </w:t>
            </w:r>
            <w:r>
              <w:rPr>
                <w:rFonts w:hint="eastAsia" w:ascii="宋体" w:hAnsi="宋体" w:cs="宋体"/>
                <w:color w:val="000000"/>
                <w:szCs w:val="21"/>
                <w:lang w:val="en-US" w:eastAsia="zh-CN"/>
              </w:rPr>
              <w:t>供货时间以具体时间按照实际采购时间为准。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8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供应商要求</w:t>
            </w:r>
          </w:p>
        </w:tc>
        <w:tc>
          <w:tcPr>
            <w:tcW w:w="572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uto"/>
              <w:jc w:val="left"/>
              <w:rPr>
                <w:rFonts w:ascii="宋体" w:hAnsi="宋体" w:eastAsia="宋体"/>
                <w:szCs w:val="21"/>
              </w:rPr>
            </w:pPr>
            <w:r>
              <w:rPr>
                <w:rFonts w:hint="eastAsia" w:ascii="宋体" w:hAnsi="宋体" w:eastAsia="宋体"/>
                <w:szCs w:val="21"/>
              </w:rPr>
              <w:t>1）供应商必须是重庆对外建设（集团）有限公司合格供方库内单位，且无失信记录。</w:t>
            </w:r>
          </w:p>
          <w:p>
            <w:pPr>
              <w:snapToGrid w:val="0"/>
              <w:spacing w:line="240" w:lineRule="auto"/>
              <w:jc w:val="left"/>
              <w:rPr>
                <w:rFonts w:hint="eastAsia" w:ascii="宋体" w:hAnsi="宋体" w:eastAsia="宋体"/>
                <w:szCs w:val="21"/>
                <w:lang w:eastAsia="zh-CN"/>
              </w:rPr>
            </w:pPr>
            <w:r>
              <w:rPr>
                <w:rFonts w:hint="eastAsia" w:ascii="宋体" w:hAnsi="宋体" w:eastAsia="宋体"/>
                <w:szCs w:val="21"/>
              </w:rPr>
              <w:t>2）营业执照经营范围包含</w:t>
            </w:r>
            <w:r>
              <w:rPr>
                <w:rFonts w:hint="eastAsia" w:ascii="宋体" w:hAnsi="宋体"/>
                <w:szCs w:val="21"/>
                <w:lang w:eastAsia="zh-CN"/>
              </w:rPr>
              <w:t>建筑材料</w:t>
            </w:r>
            <w:r>
              <w:rPr>
                <w:rFonts w:hint="eastAsia" w:ascii="宋体" w:hAnsi="宋体" w:eastAsia="宋体"/>
                <w:szCs w:val="21"/>
              </w:rPr>
              <w:t>销售及相关</w:t>
            </w:r>
            <w:r>
              <w:rPr>
                <w:rFonts w:hint="eastAsia" w:ascii="宋体" w:hAnsi="宋体" w:eastAsia="宋体"/>
                <w:szCs w:val="21"/>
                <w:lang w:eastAsia="zh-CN"/>
              </w:rPr>
              <w:t>。</w:t>
            </w:r>
          </w:p>
          <w:p>
            <w:pPr>
              <w:snapToGrid w:val="0"/>
              <w:spacing w:line="240" w:lineRule="auto"/>
              <w:jc w:val="left"/>
              <w:rPr>
                <w:rFonts w:hint="eastAsia" w:ascii="宋体" w:hAnsi="宋体" w:eastAsia="宋体"/>
                <w:szCs w:val="21"/>
              </w:rPr>
            </w:pPr>
            <w:r>
              <w:rPr>
                <w:rFonts w:hint="eastAsia" w:ascii="宋体" w:hAnsi="宋体" w:eastAsia="宋体" w:cs="Times New Roman"/>
                <w:color w:val="auto"/>
                <w:sz w:val="21"/>
                <w:szCs w:val="21"/>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5</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最高限价（含税）</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000000"/>
                <w:szCs w:val="21"/>
              </w:rPr>
            </w:pPr>
            <w:r>
              <w:rPr>
                <w:rFonts w:hint="eastAsia" w:ascii="宋体" w:hAnsi="宋体" w:eastAsia="宋体" w:cs="宋体"/>
                <w:color w:val="000000"/>
                <w:szCs w:val="21"/>
                <w:lang w:val="en-US" w:eastAsia="zh-CN"/>
              </w:rPr>
              <w:t>662.50万</w:t>
            </w:r>
            <w:r>
              <w:rPr>
                <w:rFonts w:hint="eastAsia" w:ascii="宋体" w:hAnsi="宋体" w:eastAsia="宋体"/>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报价要求</w:t>
            </w:r>
          </w:p>
        </w:tc>
        <w:tc>
          <w:tcPr>
            <w:tcW w:w="5723"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center"/>
              <w:rPr>
                <w:rFonts w:ascii="宋体" w:hAnsi="宋体" w:cs="宋体"/>
                <w:color w:val="000000"/>
                <w:szCs w:val="21"/>
              </w:rPr>
            </w:pPr>
            <w:r>
              <w:rPr>
                <w:rFonts w:hint="eastAsia" w:ascii="宋体" w:hAnsi="宋体" w:eastAsia="宋体"/>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7</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技术/质量标准</w:t>
            </w:r>
          </w:p>
        </w:tc>
        <w:tc>
          <w:tcPr>
            <w:tcW w:w="5723"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8</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供货周期</w:t>
            </w:r>
          </w:p>
        </w:tc>
        <w:tc>
          <w:tcPr>
            <w:tcW w:w="5723"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rPr>
                <w:rFonts w:ascii="宋体" w:hAnsi="宋体" w:cs="宋体"/>
                <w:color w:val="000000"/>
                <w:szCs w:val="21"/>
              </w:rPr>
            </w:pPr>
            <w:r>
              <w:rPr>
                <w:rFonts w:hint="eastAsia" w:ascii="宋体" w:hAnsi="宋体" w:cs="宋体"/>
                <w:color w:val="000000"/>
                <w:szCs w:val="21"/>
                <w:lang w:val="en-US" w:eastAsia="zh-CN"/>
              </w:rPr>
              <w:t>以具体时间按照实际采购时间为准。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9</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支付条款</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ascii="宋体" w:hAnsi="宋体" w:cs="宋体"/>
                <w:color w:val="000000"/>
                <w:szCs w:val="21"/>
              </w:rPr>
            </w:pPr>
            <w:r>
              <w:rPr>
                <w:rFonts w:hint="eastAsia" w:ascii="宋体" w:hAnsi="宋体" w:eastAsia="宋体" w:cs="宋体"/>
                <w:color w:val="000000"/>
                <w:sz w:val="21"/>
                <w:szCs w:val="21"/>
                <w:lang w:eastAsia="zh-CN"/>
              </w:rPr>
              <w:t>每月20日对帐，对账结算单经合同签字人签字或甲方指定签字人或盖章生效（项目部章、项目部资料章等均有效）。次月25日前支付上月货款的80%，供货完毕办理结算后3个月内支付至100%。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结算方式</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hint="eastAsia" w:ascii="宋体" w:hAnsi="宋体" w:eastAsia="宋体" w:cs="宋体"/>
                <w:color w:val="000000"/>
                <w:szCs w:val="21"/>
                <w:lang w:eastAsia="zh-CN"/>
              </w:rPr>
            </w:pPr>
            <w:r>
              <w:rPr>
                <w:rFonts w:hint="eastAsia" w:ascii="宋体" w:hAnsi="宋体" w:eastAsia="宋体" w:cs="宋体"/>
                <w:color w:val="000000"/>
                <w:kern w:val="2"/>
                <w:sz w:val="21"/>
                <w:szCs w:val="21"/>
                <w:highlight w:val="none"/>
                <w:u w:val="none"/>
                <w:lang w:eastAsia="zh-CN"/>
              </w:rPr>
              <w:t>按双方现场签字或盖章确认的对账单结算。</w:t>
            </w:r>
            <w:r>
              <w:rPr>
                <w:rFonts w:hint="eastAsia" w:ascii="宋体" w:hAnsi="宋体" w:cs="宋体"/>
                <w:color w:val="000000"/>
                <w:kern w:val="2"/>
                <w:sz w:val="21"/>
                <w:szCs w:val="21"/>
                <w:highlight w:val="none"/>
                <w:u w:val="none"/>
                <w:lang w:eastAsia="zh-CN"/>
              </w:rPr>
              <w:t>（</w:t>
            </w:r>
            <w:r>
              <w:rPr>
                <w:rFonts w:hint="eastAsia" w:ascii="宋体" w:hAnsi="宋体" w:eastAsia="宋体" w:cs="宋体"/>
                <w:color w:val="000000"/>
                <w:kern w:val="0"/>
                <w:sz w:val="21"/>
                <w:szCs w:val="21"/>
                <w:highlight w:val="none"/>
                <w:u w:val="none"/>
                <w:lang w:val="en-US" w:eastAsia="zh-CN" w:bidi="ar"/>
              </w:rPr>
              <w:t>供货有效期间混凝土价格不作调整，若钢筋价格涨跌幅度在±5%以内不作调整，超过±5%部分则按实调整。钢筋价格参照《我的钢铁网》2021年2月5日、15日（因春节休假期间钢铁网无钢材价格行情，钢筋参照2月10日的价格）、25日三天重庆市场达钢或威钢Ф8-10 HRB400E的平均值作为基价，即4590元/吨；以供货当月5日、15日、25日三天重庆市场达钢或威钢Ф8-10 HRB400E的平均值作为当月价格进行调差。</w:t>
            </w:r>
            <w:r>
              <w:rPr>
                <w:rFonts w:hint="eastAsia" w:ascii="宋体" w:hAnsi="宋体" w:cs="宋体"/>
                <w:color w:val="000000"/>
                <w:kern w:val="2"/>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11</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答疑/现场踏勘</w:t>
            </w:r>
          </w:p>
        </w:tc>
        <w:tc>
          <w:tcPr>
            <w:tcW w:w="572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rPr>
                <w:rFonts w:ascii="宋体" w:hAnsi="宋体" w:eastAsia="宋体"/>
                <w:szCs w:val="21"/>
              </w:rPr>
            </w:pPr>
            <w:r>
              <w:rPr>
                <w:rFonts w:hint="eastAsia" w:ascii="宋体" w:hAnsi="宋体" w:eastAsia="宋体"/>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12</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投标文件份数</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13</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000000"/>
                <w:szCs w:val="21"/>
              </w:rPr>
            </w:pPr>
            <w:r>
              <w:rPr>
                <w:rFonts w:hint="eastAsia" w:ascii="宋体" w:hAnsi="宋体" w:eastAsia="宋体"/>
                <w:szCs w:val="21"/>
              </w:rPr>
              <w:t>公示时间及网址</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eastAsia="宋体"/>
                <w:szCs w:val="21"/>
              </w:rPr>
            </w:pPr>
            <w:r>
              <w:rPr>
                <w:rFonts w:hint="eastAsia" w:ascii="宋体" w:hAnsi="宋体" w:eastAsia="宋体"/>
                <w:szCs w:val="21"/>
              </w:rPr>
              <w:t>时间:20</w:t>
            </w:r>
            <w:r>
              <w:rPr>
                <w:rFonts w:hint="eastAsia" w:ascii="宋体" w:hAnsi="宋体" w:eastAsia="宋体"/>
                <w:szCs w:val="21"/>
                <w:lang w:val="en-US" w:eastAsia="zh-CN"/>
              </w:rPr>
              <w:t>21</w:t>
            </w:r>
            <w:r>
              <w:rPr>
                <w:rFonts w:hint="eastAsia" w:ascii="宋体" w:hAnsi="宋体" w:eastAsia="宋体"/>
                <w:szCs w:val="21"/>
              </w:rPr>
              <w:t>年</w:t>
            </w:r>
            <w:r>
              <w:rPr>
                <w:rFonts w:hint="eastAsia" w:ascii="宋体" w:hAnsi="宋体"/>
                <w:szCs w:val="21"/>
                <w:lang w:val="en-US" w:eastAsia="zh-CN"/>
              </w:rPr>
              <w:t>6</w:t>
            </w:r>
            <w:r>
              <w:rPr>
                <w:rFonts w:hint="eastAsia" w:ascii="宋体" w:hAnsi="宋体" w:eastAsia="宋体"/>
                <w:szCs w:val="21"/>
              </w:rPr>
              <w:t>月</w:t>
            </w:r>
            <w:r>
              <w:rPr>
                <w:rFonts w:hint="eastAsia" w:ascii="宋体" w:hAnsi="宋体"/>
                <w:szCs w:val="21"/>
                <w:lang w:val="en-US" w:eastAsia="zh-CN"/>
              </w:rPr>
              <w:t>17</w:t>
            </w:r>
            <w:r>
              <w:rPr>
                <w:rFonts w:hint="eastAsia" w:ascii="宋体" w:hAnsi="宋体" w:eastAsia="宋体"/>
                <w:szCs w:val="21"/>
              </w:rPr>
              <w:t>日至 20</w:t>
            </w:r>
            <w:r>
              <w:rPr>
                <w:rFonts w:hint="eastAsia" w:ascii="宋体" w:hAnsi="宋体" w:eastAsia="宋体"/>
                <w:szCs w:val="21"/>
                <w:lang w:val="en-US" w:eastAsia="zh-CN"/>
              </w:rPr>
              <w:t>21</w:t>
            </w:r>
            <w:r>
              <w:rPr>
                <w:rFonts w:hint="eastAsia" w:ascii="宋体" w:hAnsi="宋体" w:eastAsia="宋体"/>
                <w:szCs w:val="21"/>
              </w:rPr>
              <w:t>年</w:t>
            </w:r>
            <w:r>
              <w:rPr>
                <w:rFonts w:hint="eastAsia" w:ascii="宋体" w:hAnsi="宋体"/>
                <w:szCs w:val="21"/>
                <w:lang w:val="en-US" w:eastAsia="zh-CN"/>
              </w:rPr>
              <w:t>6</w:t>
            </w:r>
            <w:r>
              <w:rPr>
                <w:rFonts w:hint="eastAsia" w:ascii="宋体" w:hAnsi="宋体" w:eastAsia="宋体"/>
                <w:szCs w:val="21"/>
              </w:rPr>
              <w:t>月</w:t>
            </w:r>
            <w:r>
              <w:rPr>
                <w:rFonts w:hint="eastAsia" w:ascii="宋体" w:hAnsi="宋体"/>
                <w:szCs w:val="21"/>
                <w:lang w:val="en-US" w:eastAsia="zh-CN"/>
              </w:rPr>
              <w:t>18</w:t>
            </w:r>
            <w:r>
              <w:rPr>
                <w:rFonts w:hint="eastAsia" w:ascii="宋体" w:hAnsi="宋体" w:eastAsia="宋体"/>
                <w:szCs w:val="21"/>
              </w:rPr>
              <w:t>日</w:t>
            </w:r>
          </w:p>
          <w:p>
            <w:pPr>
              <w:snapToGrid w:val="0"/>
              <w:jc w:val="left"/>
              <w:rPr>
                <w:rFonts w:ascii="宋体" w:hAnsi="宋体" w:cs="宋体"/>
                <w:color w:val="000000"/>
                <w:szCs w:val="21"/>
              </w:rPr>
            </w:pPr>
            <w:r>
              <w:rPr>
                <w:rFonts w:hint="eastAsia" w:ascii="宋体" w:hAnsi="宋体" w:eastAsia="宋体"/>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14</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bCs/>
                <w:szCs w:val="21"/>
                <w:u w:val="single"/>
              </w:rPr>
            </w:pPr>
            <w:r>
              <w:rPr>
                <w:rFonts w:hint="eastAsia" w:ascii="宋体" w:hAnsi="宋体" w:cs="宋体"/>
                <w:color w:val="000000"/>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szCs w:val="21"/>
                <w:u w:val="single"/>
              </w:rPr>
            </w:pPr>
            <w:r>
              <w:rPr>
                <w:rFonts w:hint="eastAsia" w:ascii="宋体" w:hAnsi="宋体" w:cs="宋体"/>
                <w:color w:val="000000"/>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szCs w:val="21"/>
              </w:rPr>
            </w:pPr>
            <w:r>
              <w:rPr>
                <w:rFonts w:hint="eastAsia" w:ascii="宋体" w:hAnsi="宋体" w:cs="宋体"/>
                <w:color w:val="000000"/>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21</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8"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15</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开标</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16</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评审方法及标准</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jc w:val="left"/>
              <w:rPr>
                <w:rFonts w:ascii="宋体" w:hAnsi="宋体" w:cs="宋体"/>
                <w:color w:val="000000"/>
                <w:szCs w:val="21"/>
              </w:rPr>
            </w:pPr>
            <w:r>
              <w:rPr>
                <w:rFonts w:hint="eastAsia" w:ascii="宋体" w:hAnsi="宋体" w:cs="宋体"/>
                <w:color w:val="000000"/>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000000"/>
                <w:szCs w:val="21"/>
              </w:rPr>
            </w:pPr>
            <w:r>
              <w:rPr>
                <w:rFonts w:hint="eastAsia" w:ascii="宋体" w:hAnsi="宋体" w:cs="宋体"/>
                <w:color w:val="000000"/>
                <w:szCs w:val="21"/>
              </w:rPr>
              <w:t>17</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cs="宋体"/>
                <w:color w:val="000000"/>
                <w:szCs w:val="21"/>
              </w:rPr>
            </w:pPr>
            <w:r>
              <w:rPr>
                <w:rFonts w:hint="eastAsia" w:ascii="宋体" w:hAnsi="宋体" w:cs="宋体"/>
                <w:color w:val="000000"/>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cs="宋体"/>
                <w:color w:val="000000"/>
                <w:szCs w:val="21"/>
              </w:rPr>
            </w:pPr>
            <w:r>
              <w:rPr>
                <w:rFonts w:hint="eastAsia" w:ascii="宋体" w:hAnsi="宋体" w:cs="宋体"/>
                <w:color w:val="000000"/>
                <w:szCs w:val="21"/>
              </w:rPr>
              <w:t>见投标人须知及附表</w:t>
            </w:r>
          </w:p>
        </w:tc>
      </w:tr>
    </w:tbl>
    <w:p>
      <w:pPr>
        <w:snapToGrid w:val="0"/>
        <w:jc w:val="left"/>
        <w:rPr>
          <w:rFonts w:ascii="宋体" w:hAnsi="宋体" w:cs="宋体"/>
          <w:b/>
          <w:color w:val="000000"/>
          <w:sz w:val="30"/>
        </w:rPr>
      </w:pPr>
      <w:r>
        <w:rPr>
          <w:rFonts w:ascii="宋体" w:hAnsi="宋体" w:cs="宋体"/>
          <w:b/>
          <w:color w:val="000000"/>
          <w:sz w:val="30"/>
        </w:rPr>
        <w:br w:type="page"/>
      </w:r>
    </w:p>
    <w:p>
      <w:pPr>
        <w:snapToGrid w:val="0"/>
        <w:spacing w:line="360" w:lineRule="auto"/>
        <w:jc w:val="center"/>
        <w:outlineLvl w:val="3"/>
        <w:rPr>
          <w:rFonts w:ascii="宋体" w:hAnsi="宋体" w:cs="宋体"/>
          <w:b/>
          <w:color w:val="000000"/>
          <w:sz w:val="30"/>
        </w:rPr>
      </w:pPr>
      <w:r>
        <w:rPr>
          <w:rFonts w:hint="eastAsia" w:ascii="宋体" w:hAnsi="宋体" w:cs="宋体"/>
          <w:b/>
          <w:color w:val="000000"/>
          <w:sz w:val="30"/>
        </w:rPr>
        <w:t>第三部分  评审方法（符合性评审）</w:t>
      </w:r>
    </w:p>
    <w:tbl>
      <w:tblPr>
        <w:tblStyle w:val="3"/>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b/>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r>
              <w:rPr>
                <w:rFonts w:hint="eastAsia" w:ascii="宋体" w:hAnsi="宋体" w:cs="宋体"/>
                <w:color w:val="000000"/>
              </w:rPr>
              <w:t>符</w:t>
            </w:r>
          </w:p>
          <w:p>
            <w:pPr>
              <w:rPr>
                <w:rFonts w:ascii="宋体" w:hAnsi="宋体" w:cs="宋体"/>
                <w:color w:val="000000"/>
              </w:rPr>
            </w:pPr>
            <w:r>
              <w:rPr>
                <w:rFonts w:hint="eastAsia" w:ascii="宋体" w:hAnsi="宋体" w:cs="宋体"/>
                <w:color w:val="000000"/>
              </w:rPr>
              <w:t>合</w:t>
            </w:r>
          </w:p>
          <w:p>
            <w:pPr>
              <w:rPr>
                <w:rFonts w:ascii="宋体" w:hAnsi="宋体" w:cs="宋体"/>
                <w:color w:val="000000"/>
              </w:rPr>
            </w:pPr>
            <w:r>
              <w:rPr>
                <w:rFonts w:hint="eastAsia" w:ascii="宋体" w:hAnsi="宋体" w:cs="宋体"/>
                <w:color w:val="000000"/>
              </w:rPr>
              <w:t>性</w:t>
            </w:r>
          </w:p>
          <w:p>
            <w:pPr>
              <w:rPr>
                <w:rFonts w:ascii="宋体" w:hAnsi="宋体" w:cs="宋体"/>
                <w:color w:val="000000"/>
              </w:rPr>
            </w:pPr>
            <w:r>
              <w:rPr>
                <w:rFonts w:hint="eastAsia" w:ascii="宋体" w:hAnsi="宋体" w:cs="宋体"/>
                <w:color w:val="000000"/>
              </w:rPr>
              <w:t>评</w:t>
            </w:r>
          </w:p>
          <w:p>
            <w:pPr>
              <w:rPr>
                <w:rFonts w:ascii="宋体" w:hAnsi="宋体" w:cs="宋体"/>
                <w:color w:val="000000"/>
              </w:rPr>
            </w:pPr>
            <w:r>
              <w:rPr>
                <w:rFonts w:hint="eastAsia" w:ascii="宋体" w:hAnsi="宋体" w:cs="宋体"/>
                <w:color w:val="000000"/>
              </w:rPr>
              <w:t>审</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color w:val="000000"/>
              </w:rPr>
            </w:pPr>
            <w:r>
              <w:rPr>
                <w:rFonts w:hint="eastAsia" w:ascii="宋体" w:hAnsi="宋体" w:cs="宋体"/>
                <w:b/>
                <w:color w:val="000000"/>
              </w:rPr>
              <w:t>条款号</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color w:val="000000"/>
              </w:rPr>
            </w:pPr>
            <w:r>
              <w:rPr>
                <w:rFonts w:hint="eastAsia" w:ascii="宋体" w:hAnsi="宋体" w:cs="宋体"/>
                <w:b/>
                <w:color w:val="000000"/>
              </w:rPr>
              <w:t>评审因素</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color w:val="000000"/>
              </w:rPr>
            </w:pPr>
            <w:r>
              <w:rPr>
                <w:rFonts w:hint="eastAsia" w:ascii="宋体" w:hAnsi="宋体" w:cs="宋体"/>
                <w:b/>
                <w:color w:val="00000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cs="宋体"/>
                <w:color w:val="000000"/>
              </w:rPr>
              <w:t>1</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形式评审标准</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投标人名称</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投标函签字盖章</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left"/>
              <w:rPr>
                <w:rFonts w:ascii="宋体" w:cs="宋体"/>
                <w:color w:val="000000"/>
              </w:rPr>
            </w:pPr>
            <w:r>
              <w:rPr>
                <w:rFonts w:hint="eastAsia" w:ascii="宋体" w:hAnsi="宋体" w:cs="宋体"/>
                <w:color w:val="000000"/>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投标文件格式</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left"/>
              <w:rPr>
                <w:rFonts w:ascii="宋体" w:cs="宋体"/>
                <w:color w:val="000000"/>
              </w:rPr>
            </w:pPr>
            <w:r>
              <w:rPr>
                <w:rFonts w:hint="eastAsia" w:ascii="宋体" w:hAnsi="宋体" w:cs="宋体"/>
                <w:color w:val="000000"/>
              </w:rPr>
              <w:t>符合第</w:t>
            </w:r>
            <w:r>
              <w:rPr>
                <w:rFonts w:hint="eastAsia" w:ascii="宋体" w:hAnsi="宋体" w:cs="宋体"/>
                <w:color w:val="000000"/>
                <w:lang w:eastAsia="zh-CN"/>
              </w:rPr>
              <w:t>六</w:t>
            </w:r>
            <w:r>
              <w:rPr>
                <w:rFonts w:hint="eastAsia" w:ascii="宋体" w:hAnsi="宋体" w:cs="宋体"/>
                <w:color w:val="000000"/>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报价唯一</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b/>
                <w:color w:val="000000"/>
                <w:kern w:val="0"/>
              </w:rPr>
            </w:pPr>
            <w:r>
              <w:rPr>
                <w:rFonts w:hint="eastAsia" w:ascii="宋体" w:hAnsi="宋体" w:cs="宋体"/>
                <w:color w:val="000000"/>
                <w:kern w:val="0"/>
              </w:rPr>
              <w:t>委托代理人</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kern w:val="0"/>
              </w:rPr>
            </w:pPr>
            <w:r>
              <w:rPr>
                <w:rFonts w:hint="eastAsia" w:ascii="宋体" w:hAnsi="宋体" w:cs="宋体"/>
                <w:color w:val="000000"/>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restart"/>
            <w:tcBorders>
              <w:top w:val="single" w:color="auto" w:sz="4" w:space="0"/>
              <w:left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cs="宋体"/>
                <w:color w:val="000000"/>
              </w:rPr>
              <w:t>2</w:t>
            </w:r>
          </w:p>
        </w:tc>
        <w:tc>
          <w:tcPr>
            <w:tcW w:w="850" w:type="dxa"/>
            <w:vMerge w:val="restart"/>
            <w:tcBorders>
              <w:top w:val="single" w:color="auto" w:sz="4" w:space="0"/>
              <w:left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kern w:val="0"/>
              </w:rPr>
              <w:t>资格评审标准</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cs="宋体"/>
                <w:color w:val="000000"/>
              </w:rPr>
              <w:t>投标人要求</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left"/>
              <w:rPr>
                <w:rFonts w:hint="eastAsia" w:ascii="宋体" w:eastAsia="宋体" w:cs="宋体"/>
                <w:color w:val="000000"/>
                <w:lang w:eastAsia="zh-CN"/>
              </w:rPr>
            </w:pPr>
            <w:r>
              <w:rPr>
                <w:rFonts w:hint="eastAsia" w:ascii="宋体" w:hAnsi="宋体" w:cs="宋体"/>
                <w:color w:val="000000"/>
              </w:rPr>
              <w:t>投标人必须是在中华人民共和国境内具有独立承担民事责任能力的企业，且营业执照经营范围包含</w:t>
            </w:r>
            <w:r>
              <w:rPr>
                <w:rFonts w:hint="eastAsia" w:ascii="宋体" w:hAnsi="宋体" w:cs="宋体"/>
                <w:color w:val="000000"/>
                <w:lang w:eastAsia="zh-CN"/>
              </w:rPr>
              <w:t>建筑材料</w:t>
            </w:r>
            <w:r>
              <w:rPr>
                <w:rFonts w:hint="eastAsia" w:ascii="宋体" w:hAnsi="宋体" w:cs="宋体"/>
                <w:color w:val="000000"/>
              </w:rPr>
              <w:t>销售及相关</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p>
        </w:tc>
        <w:tc>
          <w:tcPr>
            <w:tcW w:w="850" w:type="dxa"/>
            <w:vMerge w:val="continue"/>
            <w:tcBorders>
              <w:left w:val="single" w:color="auto" w:sz="4" w:space="0"/>
              <w:bottom w:val="single" w:color="auto" w:sz="4" w:space="0"/>
              <w:right w:val="single" w:color="auto" w:sz="4" w:space="0"/>
            </w:tcBorders>
            <w:noWrap w:val="0"/>
            <w:vAlign w:val="center"/>
          </w:tcPr>
          <w:p>
            <w:pPr>
              <w:spacing w:line="480" w:lineRule="auto"/>
              <w:rPr>
                <w:rFonts w:ascii="宋体" w:hAnsi="宋体" w:cs="宋体"/>
                <w:color w:val="000000"/>
                <w:kern w:val="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left"/>
              <w:rPr>
                <w:rFonts w:ascii="宋体" w:hAnsi="宋体" w:cs="宋体"/>
                <w:color w:val="000000"/>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cs="宋体"/>
                <w:color w:val="000000"/>
              </w:rPr>
              <w:t>3</w:t>
            </w: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rPr>
              <w:t>响应性评审标准</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rPr>
            </w:pPr>
            <w:r>
              <w:rPr>
                <w:rFonts w:hint="eastAsia" w:ascii="宋体" w:hAnsi="宋体" w:cs="宋体"/>
                <w:color w:val="000000"/>
              </w:rPr>
              <w:t>投标材料数量</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rPr>
              <w:t>符合第</w:t>
            </w:r>
            <w:r>
              <w:rPr>
                <w:rFonts w:hint="eastAsia" w:ascii="宋体" w:hAnsi="宋体" w:cs="宋体"/>
                <w:color w:val="000000"/>
                <w:lang w:eastAsia="zh-CN"/>
              </w:rPr>
              <w:t>六</w:t>
            </w:r>
            <w:r>
              <w:rPr>
                <w:rFonts w:hint="eastAsia" w:ascii="宋体" w:hAnsi="宋体" w:cs="宋体"/>
                <w:color w:val="000000"/>
              </w:rPr>
              <w:t>部分“投标文件格式”中“</w:t>
            </w:r>
            <w:r>
              <w:rPr>
                <w:rFonts w:hint="eastAsia" w:ascii="宋体" w:hAnsi="宋体" w:cs="宋体"/>
                <w:color w:val="000000"/>
                <w:lang w:eastAsia="zh-CN"/>
              </w:rPr>
              <w:t>四</w:t>
            </w:r>
            <w:r>
              <w:rPr>
                <w:rFonts w:hint="eastAsia" w:ascii="宋体" w:hAnsi="宋体" w:cs="宋体"/>
                <w:color w:val="000000"/>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供货周期</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rPr>
              <w:t>符合第二部分“投标人须知前附表”第</w:t>
            </w:r>
            <w:r>
              <w:rPr>
                <w:rFonts w:hint="eastAsia" w:ascii="宋体" w:hAnsi="宋体" w:cs="宋体"/>
                <w:color w:val="000000"/>
                <w:lang w:val="en-US" w:eastAsia="zh-CN"/>
              </w:rPr>
              <w:t>8</w:t>
            </w:r>
            <w:r>
              <w:rPr>
                <w:rFonts w:hint="eastAsia" w:ascii="宋体" w:hAnsi="宋体" w:cs="宋体"/>
                <w:color w:val="00000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rPr>
            </w:pPr>
            <w:r>
              <w:rPr>
                <w:rFonts w:hint="eastAsia" w:ascii="宋体" w:hAnsi="宋体" w:cs="宋体"/>
                <w:color w:val="000000"/>
              </w:rPr>
              <w:t>投标报价</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rPr>
            </w:pPr>
            <w:r>
              <w:rPr>
                <w:rFonts w:hint="eastAsia" w:ascii="宋体" w:hAnsi="宋体" w:cs="宋体"/>
                <w:color w:val="000000"/>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rPr>
                <w:color w:val="000000"/>
              </w:rPr>
            </w:pP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cs="宋体"/>
                <w:color w:val="000000"/>
                <w:kern w:val="0"/>
              </w:rPr>
            </w:pPr>
            <w:r>
              <w:rPr>
                <w:rFonts w:hint="eastAsia" w:ascii="宋体" w:hAnsi="宋体" w:cs="宋体"/>
                <w:color w:val="000000"/>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cs="宋体"/>
                <w:color w:val="000000"/>
                <w:kern w:val="0"/>
              </w:rPr>
            </w:pPr>
            <w:r>
              <w:rPr>
                <w:rFonts w:hint="eastAsia" w:ascii="宋体" w:hAnsi="宋体" w:cs="宋体"/>
                <w:color w:val="000000"/>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noWrap w:val="0"/>
            <w:vAlign w:val="top"/>
          </w:tcPr>
          <w:p>
            <w:pPr>
              <w:rPr>
                <w:color w:val="000000"/>
              </w:rPr>
            </w:pPr>
          </w:p>
        </w:tc>
        <w:tc>
          <w:tcPr>
            <w:tcW w:w="9360"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1956"/>
              </w:tabs>
              <w:spacing w:line="480" w:lineRule="auto"/>
              <w:rPr>
                <w:rFonts w:ascii="宋体" w:hAnsi="宋体" w:cs="宋体"/>
                <w:color w:val="000000"/>
                <w:kern w:val="0"/>
                <w:szCs w:val="21"/>
              </w:rPr>
            </w:pPr>
            <w:r>
              <w:rPr>
                <w:rFonts w:hint="eastAsia" w:ascii="宋体" w:hAnsi="宋体" w:cs="宋体"/>
                <w:color w:val="000000"/>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rFonts w:hint="eastAsia" w:cs="宋体"/>
                <w:color w:val="000000"/>
              </w:rPr>
              <w:t>报价</w:t>
            </w:r>
          </w:p>
          <w:p>
            <w:pPr>
              <w:rPr>
                <w:color w:val="000000"/>
              </w:rPr>
            </w:pPr>
            <w:r>
              <w:rPr>
                <w:rFonts w:hint="eastAsia" w:cs="宋体"/>
                <w:color w:val="000000"/>
              </w:rPr>
              <w:t>评审</w:t>
            </w:r>
          </w:p>
        </w:tc>
        <w:tc>
          <w:tcPr>
            <w:tcW w:w="568" w:type="dxa"/>
            <w:tcBorders>
              <w:top w:val="single" w:color="auto" w:sz="4" w:space="0"/>
              <w:left w:val="single" w:color="auto" w:sz="4" w:space="0"/>
              <w:bottom w:val="single" w:color="auto" w:sz="4" w:space="0"/>
              <w:right w:val="single" w:color="auto" w:sz="4" w:space="0"/>
            </w:tcBorders>
            <w:noWrap w:val="0"/>
            <w:vAlign w:val="top"/>
          </w:tcPr>
          <w:p>
            <w:pPr>
              <w:spacing w:line="480" w:lineRule="auto"/>
              <w:jc w:val="center"/>
              <w:rPr>
                <w:rFonts w:ascii="宋体" w:cs="宋体"/>
                <w:color w:val="000000"/>
              </w:rPr>
            </w:pPr>
            <w:r>
              <w:rPr>
                <w:rFonts w:hint="eastAsia" w:ascii="宋体" w:cs="宋体"/>
                <w:color w:val="000000"/>
              </w:rPr>
              <w:t>4</w:t>
            </w:r>
          </w:p>
        </w:tc>
        <w:tc>
          <w:tcPr>
            <w:tcW w:w="850" w:type="dxa"/>
            <w:tcBorders>
              <w:top w:val="single" w:color="auto" w:sz="4" w:space="0"/>
              <w:left w:val="single" w:color="auto" w:sz="4" w:space="0"/>
              <w:bottom w:val="single" w:color="auto" w:sz="4" w:space="0"/>
              <w:right w:val="single" w:color="auto" w:sz="4" w:space="0"/>
            </w:tcBorders>
            <w:noWrap w:val="0"/>
            <w:vAlign w:val="top"/>
          </w:tcPr>
          <w:p>
            <w:pPr>
              <w:rPr>
                <w:color w:val="000000"/>
              </w:rPr>
            </w:pPr>
            <w:r>
              <w:rPr>
                <w:rFonts w:hint="eastAsia" w:cs="宋体"/>
                <w:color w:val="000000"/>
              </w:rPr>
              <w:t>评审</w:t>
            </w:r>
          </w:p>
          <w:p>
            <w:pPr>
              <w:rPr>
                <w:rFonts w:ascii="宋体" w:cs="宋体"/>
                <w:color w:val="000000"/>
                <w:szCs w:val="21"/>
              </w:rPr>
            </w:pPr>
            <w:r>
              <w:rPr>
                <w:rFonts w:hint="eastAsia" w:cs="宋体"/>
                <w:color w:val="000000"/>
              </w:rPr>
              <w:t>标准</w:t>
            </w:r>
          </w:p>
        </w:tc>
        <w:tc>
          <w:tcPr>
            <w:tcW w:w="212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color w:val="000000"/>
                <w:kern w:val="0"/>
                <w:szCs w:val="21"/>
              </w:rPr>
            </w:pPr>
            <w:r>
              <w:rPr>
                <w:rFonts w:hint="eastAsia" w:ascii="宋体" w:hAnsi="宋体" w:cs="宋体"/>
                <w:color w:val="000000"/>
                <w:kern w:val="0"/>
                <w:szCs w:val="21"/>
              </w:rPr>
              <w:t>投标报价</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ascii="宋体" w:hAnsi="宋体" w:cs="宋体"/>
                <w:color w:val="000000"/>
                <w:kern w:val="0"/>
                <w:szCs w:val="21"/>
              </w:rPr>
            </w:pPr>
            <w:r>
              <w:rPr>
                <w:rFonts w:hint="eastAsia" w:ascii="宋体" w:hAnsi="宋体" w:cs="宋体"/>
                <w:color w:val="000000"/>
                <w:kern w:val="0"/>
                <w:szCs w:val="21"/>
              </w:rPr>
              <w:t>有效投标报价最低者即为第一中选候选人</w:t>
            </w:r>
          </w:p>
        </w:tc>
      </w:tr>
    </w:tbl>
    <w:p>
      <w:pPr>
        <w:rPr>
          <w:rFonts w:ascii="宋体" w:hAnsi="宋体" w:cs="宋体"/>
          <w:b/>
          <w:color w:val="000000"/>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sz w:val="30"/>
        </w:rPr>
      </w:pPr>
      <w:r>
        <w:rPr>
          <w:rFonts w:hint="eastAsia" w:ascii="宋体" w:hAnsi="宋体" w:cs="宋体"/>
          <w:b/>
          <w:color w:val="000000"/>
          <w:sz w:val="30"/>
        </w:rPr>
        <w:t>第四部分</w:t>
      </w:r>
      <w:bookmarkStart w:id="0" w:name="_Toc123786822"/>
      <w:bookmarkStart w:id="1" w:name="_Toc42923333"/>
      <w:bookmarkStart w:id="2" w:name="_Toc71877701"/>
      <w:r>
        <w:rPr>
          <w:rFonts w:hint="eastAsia" w:ascii="宋体" w:hAnsi="宋体" w:cs="宋体"/>
          <w:b/>
          <w:color w:val="000000"/>
          <w:sz w:val="30"/>
          <w:lang w:val="en-US" w:eastAsia="zh-CN"/>
        </w:rPr>
        <w:t xml:space="preserve">    </w:t>
      </w:r>
      <w:r>
        <w:rPr>
          <w:rFonts w:hint="eastAsia" w:ascii="宋体" w:hAnsi="宋体" w:cs="宋体"/>
          <w:b/>
          <w:color w:val="000000"/>
          <w:sz w:val="30"/>
        </w:rPr>
        <w:t>投标人须知</w:t>
      </w:r>
    </w:p>
    <w:p>
      <w:pPr>
        <w:tabs>
          <w:tab w:val="left" w:pos="0"/>
        </w:tabs>
        <w:spacing w:line="400" w:lineRule="exact"/>
        <w:ind w:firstLine="562" w:firstLineChars="200"/>
        <w:outlineLvl w:val="4"/>
        <w:rPr>
          <w:rFonts w:ascii="Times New Roman" w:hAnsi="Times New Roman"/>
          <w:b/>
          <w:bCs/>
          <w:color w:val="000000"/>
          <w:sz w:val="28"/>
          <w:szCs w:val="28"/>
        </w:rPr>
      </w:pPr>
      <w:r>
        <w:rPr>
          <w:rFonts w:hint="eastAsia" w:ascii="Times New Roman" w:hAnsi="Times New Roman" w:cs="楷体_GB2312"/>
          <w:b/>
          <w:bCs/>
          <w:color w:val="000000"/>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w:t>
      </w:r>
      <w:r>
        <w:rPr>
          <w:rFonts w:hint="eastAsia" w:ascii="Times New Roman" w:hAnsi="Times New Roman"/>
          <w:sz w:val="28"/>
          <w:szCs w:val="28"/>
          <w:lang w:eastAsia="zh-CN"/>
        </w:rPr>
        <w:t>（</w:t>
      </w:r>
      <w:r>
        <w:rPr>
          <w:rFonts w:hint="eastAsia" w:ascii="Times New Roman" w:hAnsi="Times New Roman"/>
          <w:sz w:val="28"/>
          <w:szCs w:val="28"/>
          <w:lang w:val="en-US" w:eastAsia="zh-CN"/>
        </w:rPr>
        <w:t>合规</w:t>
      </w:r>
      <w:r>
        <w:rPr>
          <w:rFonts w:hint="eastAsia" w:ascii="Times New Roman" w:hAnsi="Times New Roman"/>
          <w:sz w:val="28"/>
          <w:szCs w:val="28"/>
          <w:lang w:eastAsia="zh-CN"/>
        </w:rPr>
        <w:t>）</w:t>
      </w:r>
      <w:r>
        <w:rPr>
          <w:rFonts w:hint="eastAsia" w:ascii="Times New Roman" w:hAnsi="Times New Roman"/>
          <w:sz w:val="28"/>
          <w:szCs w:val="28"/>
        </w:rPr>
        <w:t>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0"/>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0"/>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both"/>
        <w:rPr>
          <w:rFonts w:hint="eastAsia" w:ascii="宋体" w:hAnsi="宋体" w:eastAsia="宋体"/>
          <w:b/>
          <w:color w:val="000000"/>
          <w:sz w:val="44"/>
          <w:szCs w:val="44"/>
          <w:u w:val="single"/>
          <w:lang w:eastAsia="zh-CN"/>
        </w:rPr>
      </w:pPr>
      <w:bookmarkStart w:id="5" w:name="_Hlt42923257"/>
      <w:bookmarkEnd w:id="5"/>
      <w:bookmarkStart w:id="6" w:name="_Hlt42935964"/>
      <w:bookmarkEnd w:id="6"/>
      <w:bookmarkStart w:id="7" w:name="_Toc123786890"/>
      <w:bookmarkStart w:id="8" w:name="_Toc50864444"/>
      <w:bookmarkStart w:id="9" w:name="_Toc35342046"/>
      <w:bookmarkStart w:id="10" w:name="_Toc91392962"/>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hint="eastAsia" w:ascii="宋体" w:hAnsi="宋体" w:cs="宋体"/>
          <w:b/>
          <w:sz w:val="30"/>
        </w:rPr>
      </w:pPr>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bookmarkEnd w:id="7"/>
    <w:bookmarkEnd w:id="8"/>
    <w:bookmarkEnd w:id="9"/>
    <w:bookmarkEnd w:id="10"/>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仿宋" w:cs="Times New Roman"/>
          <w:color w:val="auto"/>
          <w:kern w:val="0"/>
          <w:sz w:val="28"/>
          <w:szCs w:val="28"/>
        </w:rPr>
        <w:t xml:space="preserve"> </w:t>
      </w:r>
      <w:r>
        <w:rPr>
          <w:rFonts w:ascii="Times New Roman" w:hAnsi="Times New Roman" w:eastAsia="仿宋" w:cs="Times New Roman"/>
          <w:color w:val="auto"/>
          <w:kern w:val="0"/>
          <w:sz w:val="28"/>
          <w:szCs w:val="28"/>
        </w:rPr>
        <w:t xml:space="preserve"> </w:t>
      </w: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钢筋桁架混凝土叠合楼板底板采购合同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w:t>
      </w:r>
      <w:r>
        <w:rPr>
          <w:rFonts w:hint="eastAsia" w:eastAsia="仿宋"/>
          <w:b/>
          <w:sz w:val="28"/>
          <w:szCs w:val="28"/>
          <w:u w:val="single"/>
        </w:rPr>
        <w:t xml:space="preserve">壁山国家高新区景山人才培育中心基础设施建设项目 </w:t>
      </w:r>
    </w:p>
    <w:p>
      <w:pPr>
        <w:adjustRightInd w:val="0"/>
        <w:snapToGrid w:val="0"/>
        <w:spacing w:line="380" w:lineRule="exact"/>
        <w:jc w:val="center"/>
        <w:rPr>
          <w:rFonts w:ascii="Times New Roman" w:hAnsi="Times New Roman" w:eastAsia="仿宋"/>
          <w:szCs w:val="28"/>
          <w:u w:val="single"/>
        </w:rPr>
      </w:pPr>
      <w:r>
        <w:rPr>
          <w:rFonts w:hint="eastAsia" w:ascii="Times New Roman" w:hAnsi="Times New Roman" w:eastAsia="仿宋"/>
          <w:szCs w:val="28"/>
        </w:rPr>
        <w:t xml:space="preserve">                                        </w:t>
      </w:r>
      <w:r>
        <w:rPr>
          <w:rFonts w:hint="eastAsia" w:ascii="Times New Roman" w:hAnsi="Times New Roman" w:eastAsia="仿宋"/>
          <w:szCs w:val="28"/>
          <w:lang w:val="en-US" w:eastAsia="zh-CN"/>
        </w:rPr>
        <w:t xml:space="preserve">             </w:t>
      </w:r>
      <w:r>
        <w:rPr>
          <w:rFonts w:hint="eastAsia" w:ascii="Times New Roman" w:hAnsi="Times New Roman" w:eastAsia="仿宋"/>
          <w:szCs w:val="28"/>
        </w:rPr>
        <w:t>甲方合同编号：</w:t>
      </w:r>
      <w:r>
        <w:rPr>
          <w:rFonts w:hint="eastAsia" w:ascii="Times New Roman" w:hAnsi="Times New Roman" w:eastAsia="仿宋"/>
          <w:szCs w:val="28"/>
          <w:u w:val="single"/>
          <w:lang w:eastAsia="zh-CN"/>
        </w:rPr>
        <w:t>璧山人培</w:t>
      </w:r>
      <w:r>
        <w:rPr>
          <w:rFonts w:hint="eastAsia" w:ascii="Times New Roman" w:hAnsi="Times New Roman" w:eastAsia="仿宋"/>
          <w:szCs w:val="28"/>
          <w:u w:val="single"/>
          <w:lang w:val="en-US" w:eastAsia="zh-CN"/>
        </w:rPr>
        <w:t>-材料-</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 xml:space="preserve">重庆对外建设（集团）有限公司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rPr>
        <w:t>重庆市渝北区高新园星光大道80号</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rPr>
        <w:t xml:space="preserve"> </w:t>
      </w:r>
      <w:r>
        <w:rPr>
          <w:rFonts w:hint="eastAsia" w:ascii="Times New Roman" w:hAnsi="Times New Roman" w:eastAsia="仿宋"/>
          <w:b/>
          <w:sz w:val="28"/>
          <w:szCs w:val="28"/>
          <w:u w:val="single"/>
          <w:lang w:val="en-US" w:eastAsia="zh-CN"/>
        </w:rPr>
        <w:t xml:space="preserve">          </w:t>
      </w:r>
      <w:r>
        <w:rPr>
          <w:rFonts w:hint="eastAsia" w:ascii="Times New Roman" w:hAnsi="Times New Roman" w:eastAsia="仿宋"/>
          <w:b/>
          <w:sz w:val="28"/>
          <w:szCs w:val="28"/>
          <w:highlight w:val="none"/>
          <w:u w:val="single"/>
          <w:lang w:val="en-US" w:eastAsia="zh-CN"/>
        </w:rPr>
        <w:t xml:space="preserve">         </w:t>
      </w:r>
      <w:r>
        <w:rPr>
          <w:rFonts w:hint="eastAsia" w:ascii="Times New Roman" w:hAnsi="Times New Roman" w:eastAsia="仿宋"/>
          <w:b/>
          <w:sz w:val="28"/>
          <w:szCs w:val="28"/>
          <w:highlight w:val="none"/>
          <w:u w:val="single"/>
        </w:rPr>
        <w:t xml:space="preserve">                   </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通信地址：</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highlight w:val="none"/>
        </w:rPr>
      </w:pPr>
      <w:r>
        <w:rPr>
          <w:rFonts w:hint="eastAsia" w:ascii="Times New Roman" w:hAnsi="Times New Roman" w:eastAsia="仿宋"/>
          <w:b/>
          <w:sz w:val="28"/>
          <w:szCs w:val="28"/>
          <w:highlight w:val="none"/>
        </w:rPr>
        <w:t>联系人：</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highlight w:val="none"/>
        </w:rPr>
        <w:t>联系电话：</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r>
        <w:rPr>
          <w:rFonts w:hint="eastAsia" w:ascii="Times New Roman" w:hAnsi="Times New Roman" w:eastAsia="仿宋"/>
          <w:b/>
          <w:sz w:val="28"/>
          <w:szCs w:val="28"/>
          <w:highlight w:val="none"/>
          <w:u w:val="single"/>
          <w:lang w:val="en-US" w:eastAsia="zh-CN"/>
        </w:rPr>
        <w:t xml:space="preserve">   </w:t>
      </w:r>
      <w:r>
        <w:rPr>
          <w:rFonts w:ascii="Times New Roman" w:hAnsi="Times New Roman" w:eastAsia="仿宋"/>
          <w:b/>
          <w:sz w:val="28"/>
          <w:szCs w:val="28"/>
          <w:highlight w:val="none"/>
          <w:u w:val="single"/>
        </w:rPr>
        <w:t xml:space="preserve">  </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lang w:val="en-US" w:eastAsia="zh-CN"/>
        </w:rPr>
        <w:t xml:space="preserve"> </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r>
        <w:rPr>
          <w:rFonts w:hint="eastAsia" w:ascii="Times New Roman" w:hAnsi="Times New Roman" w:eastAsia="仿宋"/>
          <w:b/>
          <w:sz w:val="28"/>
          <w:szCs w:val="28"/>
          <w:u w:val="single"/>
          <w:lang w:val="en-US" w:eastAsia="zh-CN"/>
        </w:rPr>
        <w:t xml:space="preserve"> </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w:t>
      </w:r>
      <w:r>
        <w:rPr>
          <w:rFonts w:hint="eastAsia" w:ascii="Times New Roman" w:hAnsi="Times New Roman" w:eastAsia="仿宋"/>
          <w:kern w:val="0"/>
          <w:sz w:val="28"/>
          <w:szCs w:val="28"/>
          <w:lang w:eastAsia="zh-CN"/>
        </w:rPr>
        <w:t>民法典</w:t>
      </w:r>
      <w:r>
        <w:rPr>
          <w:rFonts w:hint="eastAsia" w:ascii="Times New Roman" w:hAnsi="Times New Roman" w:eastAsia="仿宋"/>
          <w:kern w:val="0"/>
          <w:sz w:val="28"/>
          <w:szCs w:val="28"/>
        </w:rPr>
        <w:t>》及其他有关法律、行政法规的规定，经甲、乙双方友好协商，就甲方向乙方采购本合同第一条所约定的相关事宜，达成如下协议：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val="0"/>
          <w:bCs w:val="0"/>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w:t>
      </w:r>
      <w:r>
        <w:rPr>
          <w:rFonts w:hint="eastAsia" w:ascii="Times New Roman" w:hAnsi="Times New Roman" w:eastAsia="仿宋"/>
          <w:color w:val="000000"/>
          <w:kern w:val="0"/>
          <w:sz w:val="28"/>
          <w:szCs w:val="28"/>
          <w:lang w:val="en-US" w:eastAsia="zh-CN"/>
        </w:rPr>
        <w:t xml:space="preserve"> </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元（含税）（大写：人民币</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）。其中，不含税合同价</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元；增值税税率</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u w:val="single"/>
        </w:rPr>
        <w:t>%；</w:t>
      </w:r>
      <w:r>
        <w:rPr>
          <w:rFonts w:hint="eastAsia" w:ascii="Times New Roman" w:hAnsi="Times New Roman" w:eastAsia="仿宋"/>
          <w:color w:val="000000"/>
          <w:kern w:val="0"/>
          <w:sz w:val="28"/>
          <w:szCs w:val="28"/>
        </w:rPr>
        <w:t>增值税税金</w:t>
      </w:r>
      <w:r>
        <w:rPr>
          <w:rFonts w:hint="eastAsia" w:ascii="Times New Roman" w:hAnsi="Times New Roman" w:eastAsia="仿宋"/>
          <w:color w:val="000000"/>
          <w:kern w:val="0"/>
          <w:sz w:val="28"/>
          <w:szCs w:val="28"/>
          <w:u w:val="single"/>
          <w:lang w:val="en-US" w:eastAsia="zh-CN"/>
        </w:rPr>
        <w:t xml:space="preserve">     </w:t>
      </w:r>
      <w:r>
        <w:rPr>
          <w:rFonts w:hint="eastAsia" w:ascii="Times New Roman" w:hAnsi="Times New Roman" w:eastAsia="仿宋"/>
          <w:color w:val="000000"/>
          <w:kern w:val="0"/>
          <w:sz w:val="28"/>
          <w:szCs w:val="28"/>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p>
    <w:p>
      <w:pPr>
        <w:tabs>
          <w:tab w:val="left" w:pos="1380"/>
        </w:tabs>
        <w:adjustRightInd w:val="0"/>
        <w:snapToGrid w:val="0"/>
        <w:spacing w:before="100" w:beforeAutospacing="1" w:after="100" w:afterAutospacing="1" w:line="540" w:lineRule="exact"/>
        <w:ind w:firstLine="560" w:firstLineChars="200"/>
        <w:jc w:val="left"/>
        <w:rPr>
          <w:rFonts w:hint="default" w:ascii="Times New Roman" w:hAnsi="Times New Roman" w:eastAsia="仿宋"/>
          <w:bCs/>
          <w:kern w:val="0"/>
          <w:sz w:val="28"/>
          <w:szCs w:val="28"/>
          <w:lang w:val="en-US" w:eastAsia="zh-CN"/>
        </w:rPr>
      </w:pPr>
      <w:r>
        <w:rPr>
          <w:rFonts w:hint="eastAsia" w:ascii="Times New Roman" w:hAnsi="Times New Roman" w:eastAsia="仿宋"/>
          <w:color w:val="000000"/>
          <w:kern w:val="0"/>
          <w:sz w:val="28"/>
          <w:szCs w:val="28"/>
        </w:rPr>
        <w:t>4.</w:t>
      </w:r>
      <w:r>
        <w:rPr>
          <w:rFonts w:hint="eastAsia" w:ascii="Times New Roman" w:hAnsi="Times New Roman" w:eastAsia="仿宋"/>
          <w:kern w:val="0"/>
          <w:sz w:val="28"/>
          <w:szCs w:val="28"/>
        </w:rPr>
        <w:t>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hint="eastAsia" w:ascii="Times New Roman" w:hAnsi="Times New Roman" w:eastAsia="仿宋"/>
          <w:bCs/>
          <w:sz w:val="28"/>
          <w:szCs w:val="28"/>
          <w:u w:val="single"/>
        </w:rPr>
        <w:t xml:space="preserve"> </w:t>
      </w:r>
      <w:r>
        <w:rPr>
          <w:rFonts w:hint="eastAsia" w:ascii="Times New Roman" w:hAnsi="Times New Roman" w:eastAsia="仿宋"/>
          <w:bCs/>
          <w:sz w:val="28"/>
          <w:szCs w:val="28"/>
          <w:u w:val="single"/>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w:t>
      </w:r>
      <w:r>
        <w:rPr>
          <w:rFonts w:hint="eastAsia" w:ascii="Times New Roman" w:hAnsi="Times New Roman" w:eastAsia="仿宋"/>
          <w:color w:val="000000"/>
          <w:kern w:val="0"/>
          <w:sz w:val="28"/>
          <w:szCs w:val="28"/>
        </w:rPr>
        <w:t>乙方交货时提供货物合格证及货物出厂检验报告，如缺少有效质量证明文件，甲方可以拒绝收货，造成的损失由乙方承担。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4.9 质量保证期：乙方向甲方提供货物质量保证期限至少应为</w:t>
      </w:r>
      <w:r>
        <w:rPr>
          <w:rFonts w:hint="eastAsia" w:ascii="Times New Roman" w:hAnsi="Times New Roman" w:eastAsia="仿宋"/>
          <w:color w:val="000000"/>
          <w:kern w:val="0"/>
          <w:sz w:val="28"/>
          <w:szCs w:val="28"/>
          <w:u w:val="single"/>
        </w:rPr>
        <w:t xml:space="preserve">  </w:t>
      </w:r>
      <w:r>
        <w:rPr>
          <w:rFonts w:hint="eastAsia" w:ascii="Times New Roman" w:hAnsi="Times New Roman" w:eastAsia="仿宋"/>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0"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5.1.支付时间、金额及支付方式：</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hint="eastAsia" w:ascii="仿宋" w:hAnsi="仿宋" w:eastAsia="仿宋" w:cs="仿宋"/>
          <w:bCs/>
          <w:kern w:val="0"/>
          <w:sz w:val="28"/>
          <w:szCs w:val="28"/>
          <w:u w:val="single"/>
          <w:lang w:val="en-US" w:eastAsia="zh-CN"/>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rPr>
        <w:t>开户行：</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none"/>
          <w:lang w:val="en-US" w:eastAsia="zh-CN"/>
        </w:rPr>
        <w:t>。</w:t>
      </w:r>
      <w:r>
        <w:rPr>
          <w:rFonts w:hint="eastAsia" w:ascii="Times New Roman" w:hAnsi="Times New Roman" w:eastAsia="仿宋"/>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w:t>
      </w:r>
    </w:p>
    <w:p>
      <w:pPr>
        <w:pStyle w:val="2"/>
        <w:ind w:firstLine="558" w:firstLineChars="200"/>
        <w:jc w:val="left"/>
        <w:rPr>
          <w:rFonts w:eastAsia="仿宋"/>
          <w:b w:val="0"/>
          <w:bCs w:val="0"/>
          <w:u w:val="single"/>
        </w:rPr>
      </w:pPr>
      <w:r>
        <w:rPr>
          <w:rFonts w:hint="eastAsia" w:ascii="Times New Roman" w:hAnsi="Times New Roman" w:eastAsia="仿宋"/>
          <w:b w:val="0"/>
          <w:bCs w:val="0"/>
          <w:kern w:val="0"/>
          <w:szCs w:val="28"/>
        </w:rPr>
        <w:t>联行号：</w:t>
      </w:r>
      <w:r>
        <w:rPr>
          <w:rFonts w:hint="eastAsia" w:ascii="Times New Roman" w:hAnsi="Times New Roman" w:eastAsia="仿宋"/>
          <w:b w:val="0"/>
          <w:bCs w:val="0"/>
          <w:kern w:val="0"/>
          <w:szCs w:val="28"/>
          <w:u w:val="single"/>
        </w:rPr>
        <w:t xml:space="preserve">  </w:t>
      </w:r>
      <w:r>
        <w:rPr>
          <w:rFonts w:hint="eastAsia" w:ascii="Times New Roman" w:hAnsi="Times New Roman" w:eastAsia="仿宋"/>
          <w:b w:val="0"/>
          <w:bCs w:val="0"/>
          <w:kern w:val="0"/>
          <w:szCs w:val="28"/>
          <w:u w:val="single"/>
          <w:lang w:val="en-US" w:eastAsia="zh-CN"/>
        </w:rPr>
        <w:t xml:space="preserve">                        </w:t>
      </w:r>
      <w:r>
        <w:rPr>
          <w:rFonts w:hint="eastAsia" w:ascii="Times New Roman" w:hAnsi="Times New Roman" w:eastAsia="仿宋"/>
          <w:b w:val="0"/>
          <w:bCs w:val="0"/>
          <w:kern w:val="0"/>
          <w:szCs w:val="28"/>
          <w:u w:val="single"/>
        </w:rPr>
        <w:t xml:space="preserve">  </w:t>
      </w:r>
      <w:r>
        <w:rPr>
          <w:rFonts w:hint="eastAsia" w:ascii="Times New Roman" w:hAnsi="Times New Roman" w:eastAsia="仿宋"/>
          <w:b w:val="0"/>
          <w:bCs w:val="0"/>
          <w:kern w:val="0"/>
          <w:szCs w:val="28"/>
        </w:rPr>
        <w:t xml:space="preserve">。      </w:t>
      </w:r>
    </w:p>
    <w:p>
      <w:pPr>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w:t>
      </w:r>
      <w:r>
        <w:rPr>
          <w:rFonts w:hint="eastAsia" w:ascii="Times New Roman" w:hAnsi="Times New Roman" w:eastAsia="仿宋" w:cs="Times New Roman"/>
          <w:color w:val="auto"/>
          <w:kern w:val="0"/>
          <w:sz w:val="28"/>
          <w:szCs w:val="28"/>
          <w:lang w:val="en-US" w:eastAsia="zh-CN"/>
        </w:rPr>
        <w:t>3.</w:t>
      </w:r>
      <w:r>
        <w:rPr>
          <w:rFonts w:hint="eastAsia" w:ascii="Times New Roman" w:hAnsi="Times New Roman" w:eastAsia="仿宋" w:cs="Times New Roman"/>
          <w:color w:val="auto"/>
          <w:kern w:val="0"/>
          <w:sz w:val="28"/>
          <w:szCs w:val="28"/>
        </w:rPr>
        <w:t>乙方在双方正式确定采购订单之日起</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w:t>
      </w:r>
      <w:r>
        <w:rPr>
          <w:rFonts w:hint="eastAsia" w:ascii="Times New Roman" w:hAnsi="Times New Roman" w:eastAsia="仿宋" w:cs="Times New Roman"/>
          <w:kern w:val="0"/>
          <w:sz w:val="28"/>
          <w:szCs w:val="28"/>
        </w:rPr>
        <w:t>乙方必须在增值税专用发票备注栏内注明“项目名称</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rPr>
        <w:t>”和“项目所在地</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rPr>
        <w:t>”，发票不满足要求的，甲方有权拒绝付款。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w:t>
      </w:r>
      <w:r>
        <w:rPr>
          <w:rFonts w:hint="eastAsia" w:ascii="Times New Roman" w:hAnsi="Times New Roman" w:eastAsia="仿宋"/>
          <w:kern w:val="0"/>
          <w:sz w:val="28"/>
          <w:szCs w:val="28"/>
          <w:u w:val="single"/>
        </w:rPr>
        <w:t>_</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u w:val="single"/>
        </w:rPr>
        <w:t>_</w:t>
      </w:r>
      <w:r>
        <w:rPr>
          <w:rFonts w:hint="eastAsia" w:ascii="Times New Roman" w:hAnsi="Times New Roman" w:eastAsia="仿宋"/>
          <w:kern w:val="0"/>
          <w:sz w:val="28"/>
          <w:szCs w:val="28"/>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r>
        <w:rPr>
          <w:rFonts w:hint="eastAsia" w:ascii="Times New Roman" w:hAnsi="Times New Roman" w:eastAsia="仿宋"/>
          <w:kern w:val="0"/>
          <w:sz w:val="28"/>
          <w:szCs w:val="28"/>
          <w:lang w:eastAsia="zh-CN"/>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olor w:val="0000FF"/>
          <w:kern w:val="0"/>
          <w:sz w:val="28"/>
          <w:szCs w:val="28"/>
          <w:highlight w:val="yellow"/>
          <w:lang w:val="en-US" w:eastAsia="zh-CN"/>
        </w:rPr>
      </w:pPr>
      <w:r>
        <w:rPr>
          <w:rFonts w:hint="eastAsia" w:ascii="Times New Roman" w:hAnsi="Times New Roman" w:eastAsia="仿宋"/>
          <w:b w:val="0"/>
          <w:bCs w:val="0"/>
          <w:kern w:val="0"/>
          <w:sz w:val="28"/>
          <w:szCs w:val="28"/>
          <w:lang w:val="en-US" w:eastAsia="zh-CN"/>
        </w:rPr>
        <w:t>6.4 甲方指定</w:t>
      </w:r>
      <w:r>
        <w:rPr>
          <w:rFonts w:hint="eastAsia" w:ascii="Times New Roman" w:hAnsi="Times New Roman" w:eastAsia="仿宋"/>
          <w:b w:val="0"/>
          <w:bCs w:val="0"/>
          <w:kern w:val="0"/>
          <w:sz w:val="28"/>
          <w:szCs w:val="28"/>
          <w:u w:val="single"/>
          <w:lang w:val="en-US" w:eastAsia="zh-CN"/>
        </w:rPr>
        <w:t xml:space="preserve">     </w:t>
      </w:r>
      <w:r>
        <w:rPr>
          <w:rFonts w:hint="eastAsia" w:ascii="Times New Roman" w:hAnsi="Times New Roman" w:eastAsia="仿宋"/>
          <w:b w:val="0"/>
          <w:bCs w:val="0"/>
          <w:kern w:val="0"/>
          <w:sz w:val="28"/>
          <w:szCs w:val="28"/>
          <w:lang w:val="en-US" w:eastAsia="zh-CN"/>
        </w:rPr>
        <w:t>为每月对账单结算签字人。</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hint="eastAsia" w:ascii="Times New Roman" w:hAnsi="Times New Roman" w:eastAsia="仿宋"/>
          <w:kern w:val="0"/>
          <w:sz w:val="28"/>
          <w:szCs w:val="28"/>
          <w:u w:val="single"/>
          <w:lang w:val="en-US" w:eastAsia="zh-CN"/>
        </w:rPr>
        <w:t xml:space="preserve">    </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highlight w:val="none"/>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w:t>
      </w:r>
      <w:r>
        <w:rPr>
          <w:rFonts w:hint="eastAsia" w:ascii="Times New Roman" w:hAnsi="Times New Roman" w:eastAsia="仿宋"/>
          <w:kern w:val="0"/>
          <w:sz w:val="28"/>
          <w:szCs w:val="28"/>
          <w:highlight w:val="none"/>
        </w:rPr>
        <w:t>责赔偿。</w:t>
      </w:r>
    </w:p>
    <w:p>
      <w:pPr>
        <w:spacing w:line="440" w:lineRule="exact"/>
        <w:ind w:firstLine="630" w:firstLineChars="225"/>
        <w:rPr>
          <w:rFonts w:ascii="Times New Roman" w:hAnsi="Times New Roman" w:eastAsia="仿宋"/>
          <w:kern w:val="0"/>
          <w:sz w:val="28"/>
          <w:szCs w:val="28"/>
          <w:highlight w:val="none"/>
          <w:u w:val="single"/>
        </w:rPr>
      </w:pPr>
      <w:r>
        <w:rPr>
          <w:rFonts w:hint="eastAsia" w:ascii="Times New Roman" w:hAnsi="Times New Roman" w:eastAsia="仿宋"/>
          <w:kern w:val="0"/>
          <w:sz w:val="28"/>
          <w:szCs w:val="28"/>
          <w:highlight w:val="none"/>
        </w:rPr>
        <w:t>7.4乙方逾期交货的，每逾期一日，应按照</w:t>
      </w:r>
      <w:r>
        <w:rPr>
          <w:rFonts w:hint="eastAsia" w:ascii="Times New Roman" w:hAnsi="Times New Roman" w:eastAsia="仿宋" w:cs="Times New Roman"/>
          <w:color w:val="auto"/>
          <w:kern w:val="0"/>
          <w:sz w:val="28"/>
          <w:szCs w:val="28"/>
        </w:rPr>
        <w:t>货款总额</w:t>
      </w:r>
      <w:r>
        <w:rPr>
          <w:rFonts w:hint="eastAsia" w:ascii="Times New Roman" w:hAnsi="Times New Roman" w:eastAsia="仿宋"/>
          <w:kern w:val="0"/>
          <w:sz w:val="28"/>
          <w:szCs w:val="28"/>
          <w:highlight w:val="none"/>
          <w:u w:val="single"/>
          <w:lang w:val="en-US" w:eastAsia="zh-CN"/>
        </w:rPr>
        <w:t xml:space="preserve">    </w:t>
      </w:r>
      <w:r>
        <w:rPr>
          <w:rFonts w:hint="eastAsia" w:ascii="Times New Roman" w:hAnsi="Times New Roman" w:eastAsia="仿宋"/>
          <w:kern w:val="0"/>
          <w:sz w:val="28"/>
          <w:szCs w:val="28"/>
          <w:highlight w:val="none"/>
        </w:rPr>
        <w:t>向甲方支付违约金，</w:t>
      </w:r>
      <w:r>
        <w:rPr>
          <w:rFonts w:hint="eastAsia" w:ascii="Times New Roman" w:hAnsi="Times New Roman" w:eastAsia="仿宋"/>
          <w:kern w:val="0"/>
          <w:sz w:val="28"/>
          <w:szCs w:val="28"/>
          <w:highlight w:val="none"/>
          <w:lang w:eastAsia="zh-CN"/>
        </w:rPr>
        <w:t>违约金金额按照双方签字确定为准。</w:t>
      </w:r>
      <w:r>
        <w:rPr>
          <w:rFonts w:hint="eastAsia" w:ascii="Times New Roman" w:hAnsi="Times New Roman" w:eastAsia="仿宋"/>
          <w:kern w:val="0"/>
          <w:sz w:val="28"/>
          <w:szCs w:val="28"/>
          <w:highlight w:val="none"/>
        </w:rPr>
        <w:t>逾期超过</w:t>
      </w:r>
      <w:r>
        <w:rPr>
          <w:rFonts w:hint="eastAsia" w:ascii="Times New Roman" w:hAnsi="Times New Roman" w:eastAsia="仿宋"/>
          <w:kern w:val="0"/>
          <w:sz w:val="28"/>
          <w:szCs w:val="28"/>
          <w:highlight w:val="none"/>
          <w:u w:val="single"/>
          <w:lang w:val="en-US" w:eastAsia="zh-CN"/>
        </w:rPr>
        <w:t xml:space="preserve">  </w:t>
      </w:r>
      <w:r>
        <w:rPr>
          <w:rFonts w:hint="eastAsia" w:ascii="Times New Roman" w:hAnsi="Times New Roman" w:eastAsia="仿宋"/>
          <w:kern w:val="0"/>
          <w:sz w:val="28"/>
          <w:szCs w:val="28"/>
          <w:highlight w:val="none"/>
        </w:rPr>
        <w:t>日的，甲方有权拒绝接受货物并要求乙方支付货款的</w:t>
      </w:r>
      <w:r>
        <w:rPr>
          <w:rFonts w:hint="eastAsia" w:ascii="Times New Roman" w:hAnsi="Times New Roman" w:eastAsia="仿宋"/>
          <w:kern w:val="0"/>
          <w:sz w:val="28"/>
          <w:szCs w:val="28"/>
          <w:highlight w:val="none"/>
          <w:u w:val="single"/>
          <w:lang w:val="en-US" w:eastAsia="zh-CN"/>
        </w:rPr>
        <w:t xml:space="preserve">    </w:t>
      </w:r>
      <w:r>
        <w:rPr>
          <w:rFonts w:ascii="Times New Roman" w:hAnsi="Times New Roman" w:eastAsia="仿宋"/>
          <w:kern w:val="0"/>
          <w:sz w:val="28"/>
          <w:szCs w:val="28"/>
          <w:highlight w:val="none"/>
        </w:rPr>
        <w:t>%</w:t>
      </w:r>
      <w:r>
        <w:rPr>
          <w:rFonts w:hint="eastAsia" w:ascii="Times New Roman" w:hAnsi="Times New Roman" w:eastAsia="仿宋"/>
          <w:kern w:val="0"/>
          <w:sz w:val="28"/>
          <w:szCs w:val="28"/>
          <w:highlight w:val="none"/>
        </w:rPr>
        <w:t>作为违约金</w:t>
      </w:r>
      <w:r>
        <w:rPr>
          <w:rFonts w:hint="eastAsia" w:ascii="Times New Roman" w:hAnsi="Times New Roman" w:eastAsia="仿宋"/>
          <w:kern w:val="0"/>
          <w:sz w:val="28"/>
          <w:szCs w:val="28"/>
          <w:highlight w:val="none"/>
          <w:lang w:eastAsia="zh-CN"/>
        </w:rPr>
        <w:t>，</w:t>
      </w:r>
      <w:r>
        <w:rPr>
          <w:rFonts w:hint="eastAsia" w:ascii="Times New Roman" w:hAnsi="Times New Roman" w:eastAsia="仿宋"/>
          <w:kern w:val="0"/>
          <w:sz w:val="28"/>
          <w:szCs w:val="28"/>
          <w:highlight w:val="none"/>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highlight w:val="none"/>
        </w:rPr>
        <w:t>7.5乙方提前交货的、多交的和品种、型号、规格、花色、质量不</w:t>
      </w:r>
      <w:r>
        <w:rPr>
          <w:rFonts w:hint="eastAsia" w:ascii="Times New Roman" w:hAnsi="Times New Roman" w:eastAsia="仿宋"/>
          <w:kern w:val="0"/>
          <w:sz w:val="28"/>
          <w:szCs w:val="28"/>
        </w:rPr>
        <w:t>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w:t>
      </w:r>
      <w:r>
        <w:rPr>
          <w:rFonts w:hint="eastAsia" w:ascii="Times New Roman" w:hAnsi="Times New Roman" w:eastAsia="仿宋"/>
          <w:sz w:val="28"/>
          <w:szCs w:val="28"/>
        </w:rPr>
        <w:t>0天之内将发票送达甲方，若因乙方未及时提供增值税专用发票送达甲方导致甲方无法抵扣，甲方所有经济损失及责任全部由乙方承担。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lang w:val="en-US" w:eastAsia="zh-CN"/>
        </w:rPr>
        <w:t xml:space="preserve">   </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w:t>
      </w:r>
      <w:r>
        <w:rPr>
          <w:rFonts w:hint="eastAsia" w:ascii="Times New Roman" w:hAnsi="Times New Roman" w:eastAsia="仿宋"/>
          <w:kern w:val="0"/>
          <w:sz w:val="28"/>
          <w:szCs w:val="28"/>
          <w:lang w:eastAsia="zh-CN"/>
        </w:rPr>
        <w:t>原告方</w:t>
      </w:r>
      <w:r>
        <w:rPr>
          <w:rFonts w:hint="eastAsia" w:ascii="Times New Roman" w:hAnsi="Times New Roman" w:eastAsia="仿宋"/>
          <w:kern w:val="0"/>
          <w:sz w:val="28"/>
          <w:szCs w:val="28"/>
        </w:rPr>
        <w:t>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10.4.乙方承诺、保证并同意：</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（2）国际组织的领导、官员和代表；</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（4）国有或国家控股公司或实体的官员和员工；</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rPr>
      </w:pPr>
      <w:r>
        <w:rPr>
          <w:rFonts w:hint="eastAsia" w:ascii="Times New Roman" w:hAnsi="Times New Roman" w:eastAsia="仿宋"/>
          <w:kern w:val="0"/>
          <w:sz w:val="28"/>
          <w:szCs w:val="28"/>
        </w:rPr>
        <w:t>10.4.4.违反上述规定，甲方有权立即解除合同并追偿损失。</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lang w:val="en-US" w:eastAsia="zh-CN"/>
        </w:rPr>
        <w:t>10.5</w:t>
      </w:r>
      <w:r>
        <w:rPr>
          <w:rFonts w:hint="eastAsia" w:ascii="Times New Roman" w:hAnsi="Times New Roman"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八</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七</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jc w:val="left"/>
        <w:rPr>
          <w:rFonts w:hint="eastAsia" w:ascii="Times New Roman" w:hAnsi="Times New Roman" w:eastAsia="仿宋"/>
          <w:kern w:val="0"/>
          <w:sz w:val="24"/>
          <w:szCs w:val="24"/>
        </w:rPr>
      </w:pPr>
      <w:r>
        <w:rPr>
          <w:rFonts w:hint="eastAsia" w:ascii="Times New Roman" w:hAnsi="Times New Roman" w:eastAsia="仿宋"/>
          <w:kern w:val="0"/>
          <w:sz w:val="24"/>
          <w:szCs w:val="24"/>
          <w:lang w:eastAsia="zh-CN"/>
        </w:rPr>
        <w:t>附</w:t>
      </w:r>
      <w:r>
        <w:rPr>
          <w:rFonts w:hint="eastAsia" w:ascii="Times New Roman" w:hAnsi="Times New Roman" w:eastAsia="仿宋"/>
          <w:kern w:val="0"/>
          <w:sz w:val="24"/>
          <w:szCs w:val="24"/>
        </w:rPr>
        <w:t>件：1.</w:t>
      </w:r>
      <w:r>
        <w:rPr>
          <w:rFonts w:hint="eastAsia" w:ascii="Times New Roman" w:hAnsi="Times New Roman" w:eastAsia="仿宋"/>
          <w:kern w:val="0"/>
          <w:sz w:val="24"/>
          <w:szCs w:val="24"/>
          <w:u w:val="single"/>
          <w:lang w:eastAsia="zh-CN"/>
        </w:rPr>
        <w:t>材料</w:t>
      </w:r>
      <w:r>
        <w:rPr>
          <w:rFonts w:hint="eastAsia" w:ascii="Times New Roman" w:hAnsi="Times New Roman" w:eastAsia="仿宋"/>
          <w:kern w:val="0"/>
          <w:sz w:val="24"/>
          <w:szCs w:val="24"/>
          <w:highlight w:val="none"/>
          <w:u w:val="single"/>
        </w:rPr>
        <w:t>采购合同</w:t>
      </w:r>
      <w:r>
        <w:rPr>
          <w:rFonts w:hint="eastAsia" w:ascii="Times New Roman" w:hAnsi="Times New Roman" w:eastAsia="仿宋"/>
          <w:kern w:val="0"/>
          <w:sz w:val="24"/>
          <w:szCs w:val="24"/>
        </w:rPr>
        <w:t>（填：合同名称）合同清单（以下无正文，为签字盖章页）</w:t>
      </w:r>
    </w:p>
    <w:p>
      <w:pPr>
        <w:adjustRightInd w:val="0"/>
        <w:snapToGrid w:val="0"/>
        <w:spacing w:before="100" w:beforeAutospacing="1" w:after="100" w:afterAutospacing="1" w:line="540" w:lineRule="exact"/>
        <w:jc w:val="left"/>
        <w:rPr>
          <w:rFonts w:ascii="Times New Roman" w:hAnsi="Times New Roman" w:eastAsia="仿宋"/>
          <w:kern w:val="0"/>
          <w:sz w:val="28"/>
          <w:szCs w:val="28"/>
          <w:u w:val="single"/>
        </w:rPr>
      </w:pPr>
      <w:r>
        <w:rPr>
          <w:rFonts w:hint="eastAsia" w:ascii="Times New Roman" w:hAnsi="Times New Roman" w:eastAsia="仿宋"/>
          <w:kern w:val="0"/>
          <w:sz w:val="28"/>
          <w:szCs w:val="28"/>
        </w:rPr>
        <w:t>甲方（盖章）：</w:t>
      </w:r>
      <w:r>
        <w:rPr>
          <w:rFonts w:hint="eastAsia" w:ascii="Times New Roman" w:hAnsi="Times New Roman" w:eastAsia="仿宋"/>
          <w:kern w:val="0"/>
          <w:sz w:val="28"/>
          <w:szCs w:val="28"/>
          <w:u w:val="single"/>
        </w:rPr>
        <w:t>重庆对外建设（集团）有限公司</w:t>
      </w:r>
    </w:p>
    <w:p>
      <w:pPr>
        <w:adjustRightInd w:val="0"/>
        <w:snapToGrid w:val="0"/>
        <w:spacing w:before="100" w:beforeAutospacing="1" w:after="100" w:afterAutospacing="1" w:line="540" w:lineRule="exact"/>
        <w:rPr>
          <w:rFonts w:hint="eastAsia"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pStyle w:val="2"/>
      </w:pPr>
    </w:p>
    <w:p>
      <w:pPr>
        <w:adjustRightInd w:val="0"/>
        <w:snapToGrid w:val="0"/>
        <w:spacing w:before="100" w:beforeAutospacing="1" w:after="100" w:afterAutospacing="1" w:line="540" w:lineRule="exact"/>
        <w:rPr>
          <w:rFonts w:hint="eastAsia" w:ascii="仿宋" w:hAnsi="仿宋" w:eastAsia="仿宋" w:cs="仿宋"/>
          <w:bCs/>
          <w:sz w:val="28"/>
          <w:szCs w:val="28"/>
          <w:u w:val="single"/>
          <w:lang w:eastAsia="zh-CN"/>
        </w:rPr>
      </w:pPr>
      <w:r>
        <w:rPr>
          <w:rFonts w:hint="eastAsia" w:ascii="Times New Roman" w:hAnsi="Times New Roman" w:eastAsia="仿宋"/>
          <w:kern w:val="0"/>
          <w:sz w:val="28"/>
          <w:szCs w:val="28"/>
        </w:rPr>
        <w:t>乙方（盖章）：</w:t>
      </w:r>
      <w:r>
        <w:rPr>
          <w:rFonts w:hint="eastAsia" w:ascii="仿宋" w:hAnsi="仿宋" w:eastAsia="仿宋" w:cs="仿宋"/>
          <w:bCs/>
          <w:sz w:val="28"/>
          <w:szCs w:val="28"/>
          <w:u w:val="single"/>
          <w:lang w:val="en-US" w:eastAsia="zh-CN"/>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pStyle w:val="2"/>
        <w:rPr>
          <w:sz w:val="24"/>
          <w:szCs w:val="24"/>
        </w:rPr>
        <w:sectPr>
          <w:pgSz w:w="11906" w:h="16838"/>
          <w:pgMar w:top="1100" w:right="1486" w:bottom="1213" w:left="1800" w:header="851" w:footer="992" w:gutter="0"/>
          <w:cols w:space="720" w:num="1"/>
          <w:docGrid w:type="lines" w:linePitch="312" w:charSpace="0"/>
        </w:sect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lang w:val="en-US" w:eastAsia="zh-CN"/>
        </w:rPr>
        <w:sectPr>
          <w:pgSz w:w="11906" w:h="16838"/>
          <w:pgMar w:top="1440" w:right="1800" w:bottom="1440" w:left="1800" w:header="851" w:footer="992" w:gutter="0"/>
          <w:cols w:space="720" w:num="1"/>
          <w:docGrid w:type="lines" w:linePitch="312" w:charSpace="0"/>
        </w:sectPr>
      </w:pPr>
    </w:p>
    <w:p>
      <w:pPr>
        <w:spacing w:line="579" w:lineRule="exact"/>
        <w:rPr>
          <w:rFonts w:ascii="Times New Roman" w:hAnsi="Times New Roman" w:eastAsia="方正仿宋_GBK" w:cs="方正仿宋_GBK"/>
          <w:color w:val="000000"/>
          <w:sz w:val="30"/>
          <w:szCs w:val="32"/>
        </w:rPr>
      </w:pPr>
      <w:r>
        <w:rPr>
          <w:rFonts w:hint="eastAsia" w:ascii="Times New Roman" w:hAnsi="Times New Roman" w:eastAsia="方正仿宋_GBK" w:cs="方正仿宋_GBK"/>
          <w:color w:val="000000"/>
          <w:sz w:val="30"/>
          <w:szCs w:val="32"/>
        </w:rPr>
        <w:t>材料采购合同附件1.合同清单</w:t>
      </w:r>
    </w:p>
    <w:tbl>
      <w:tblPr>
        <w:tblStyle w:val="3"/>
        <w:tblW w:w="13798" w:type="dxa"/>
        <w:tblInd w:w="0" w:type="dxa"/>
        <w:tblLayout w:type="autofit"/>
        <w:tblCellMar>
          <w:top w:w="0" w:type="dxa"/>
          <w:left w:w="0" w:type="dxa"/>
          <w:bottom w:w="0" w:type="dxa"/>
          <w:right w:w="0" w:type="dxa"/>
        </w:tblCellMar>
      </w:tblPr>
      <w:tblGrid>
        <w:gridCol w:w="726"/>
        <w:gridCol w:w="2186"/>
        <w:gridCol w:w="2483"/>
        <w:gridCol w:w="1043"/>
        <w:gridCol w:w="989"/>
        <w:gridCol w:w="717"/>
        <w:gridCol w:w="1379"/>
        <w:gridCol w:w="1376"/>
        <w:gridCol w:w="1421"/>
        <w:gridCol w:w="1478"/>
      </w:tblGrid>
      <w:tr>
        <w:tblPrEx>
          <w:tblCellMar>
            <w:top w:w="0" w:type="dxa"/>
            <w:left w:w="0" w:type="dxa"/>
            <w:bottom w:w="0" w:type="dxa"/>
            <w:right w:w="0" w:type="dxa"/>
          </w:tblCellMar>
        </w:tblPrEx>
        <w:trPr>
          <w:trHeight w:val="576" w:hRule="atLeast"/>
        </w:trPr>
        <w:tc>
          <w:tcPr>
            <w:tcW w:w="9523" w:type="dxa"/>
            <w:gridSpan w:val="7"/>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黑体" w:hAnsi="宋体" w:eastAsia="黑体" w:cs="黑体"/>
                <w:b/>
                <w:color w:val="000000"/>
                <w:sz w:val="40"/>
                <w:szCs w:val="40"/>
              </w:rPr>
            </w:pPr>
            <w:r>
              <w:rPr>
                <w:rFonts w:hint="eastAsia" w:ascii="黑体" w:hAnsi="宋体" w:eastAsia="黑体" w:cs="黑体"/>
                <w:b/>
                <w:color w:val="000000"/>
                <w:kern w:val="0"/>
                <w:sz w:val="40"/>
                <w:szCs w:val="40"/>
                <w:lang w:bidi="ar"/>
              </w:rPr>
              <w:t xml:space="preserve">               </w:t>
            </w:r>
            <w:r>
              <w:rPr>
                <w:rFonts w:hint="eastAsia" w:ascii="黑体" w:hAnsi="宋体" w:eastAsia="黑体" w:cs="黑体"/>
                <w:b/>
                <w:color w:val="000000"/>
                <w:kern w:val="0"/>
                <w:sz w:val="40"/>
                <w:szCs w:val="40"/>
                <w:u w:val="single"/>
                <w:lang w:bidi="ar"/>
              </w:rPr>
              <w:t xml:space="preserve"> </w:t>
            </w:r>
            <w:r>
              <w:rPr>
                <w:rFonts w:hint="eastAsia" w:ascii="黑体" w:hAnsi="宋体" w:eastAsia="黑体" w:cs="黑体"/>
                <w:b/>
                <w:color w:val="000000"/>
                <w:kern w:val="0"/>
                <w:sz w:val="40"/>
                <w:szCs w:val="40"/>
                <w:u w:val="single"/>
                <w:lang w:eastAsia="zh-CN" w:bidi="ar"/>
              </w:rPr>
              <w:t>材料</w:t>
            </w:r>
            <w:r>
              <w:rPr>
                <w:rFonts w:hint="eastAsia" w:ascii="黑体" w:hAnsi="宋体" w:eastAsia="黑体" w:cs="黑体"/>
                <w:b/>
                <w:color w:val="000000"/>
                <w:kern w:val="0"/>
                <w:sz w:val="40"/>
                <w:szCs w:val="40"/>
                <w:highlight w:val="none"/>
                <w:u w:val="single"/>
                <w:lang w:bidi="ar"/>
              </w:rPr>
              <w:t>采购合同</w:t>
            </w:r>
            <w:r>
              <w:rPr>
                <w:rFonts w:hint="eastAsia" w:ascii="黑体" w:hAnsi="宋体" w:eastAsia="黑体" w:cs="黑体"/>
                <w:b/>
                <w:color w:val="000000"/>
                <w:kern w:val="0"/>
                <w:sz w:val="40"/>
                <w:szCs w:val="40"/>
                <w:highlight w:val="none"/>
                <w:u w:val="single"/>
                <w:lang w:val="en-US" w:eastAsia="zh-CN" w:bidi="ar"/>
              </w:rPr>
              <w:t xml:space="preserve">  </w:t>
            </w:r>
            <w:r>
              <w:rPr>
                <w:rFonts w:hint="eastAsia" w:ascii="黑体" w:hAnsi="宋体" w:eastAsia="黑体" w:cs="黑体"/>
                <w:color w:val="000000"/>
                <w:kern w:val="0"/>
                <w:sz w:val="40"/>
                <w:szCs w:val="40"/>
                <w:lang w:bidi="ar"/>
              </w:rPr>
              <w:t>合同清单</w:t>
            </w:r>
          </w:p>
        </w:tc>
        <w:tc>
          <w:tcPr>
            <w:tcW w:w="1376" w:type="dxa"/>
            <w:tcBorders>
              <w:top w:val="nil"/>
              <w:left w:val="nil"/>
              <w:bottom w:val="nil"/>
              <w:right w:val="nil"/>
            </w:tcBorders>
            <w:shd w:val="clear" w:color="auto" w:fill="auto"/>
            <w:tcMar>
              <w:top w:w="12" w:type="dxa"/>
              <w:left w:w="12" w:type="dxa"/>
              <w:right w:w="12" w:type="dxa"/>
            </w:tcMar>
            <w:vAlign w:val="center"/>
          </w:tcPr>
          <w:p>
            <w:pPr>
              <w:jc w:val="left"/>
              <w:rPr>
                <w:rFonts w:ascii="宋体" w:hAnsi="宋体" w:cs="宋体"/>
                <w:color w:val="000000"/>
                <w:sz w:val="28"/>
                <w:szCs w:val="28"/>
              </w:rPr>
            </w:pPr>
          </w:p>
        </w:tc>
        <w:tc>
          <w:tcPr>
            <w:tcW w:w="2899" w:type="dxa"/>
            <w:gridSpan w:val="2"/>
            <w:tcBorders>
              <w:top w:val="nil"/>
              <w:left w:val="nil"/>
              <w:bottom w:val="nil"/>
              <w:right w:val="nil"/>
            </w:tcBorders>
            <w:shd w:val="clear" w:color="auto" w:fill="auto"/>
            <w:tcMar>
              <w:top w:w="12" w:type="dxa"/>
              <w:left w:w="12" w:type="dxa"/>
              <w:right w:w="12" w:type="dxa"/>
            </w:tcMar>
            <w:vAlign w:val="center"/>
          </w:tcPr>
          <w:p>
            <w:pPr>
              <w:rPr>
                <w:rFonts w:ascii="宋体" w:hAnsi="宋体" w:cs="宋体"/>
                <w:color w:val="000000"/>
                <w:sz w:val="33"/>
                <w:szCs w:val="33"/>
              </w:rPr>
            </w:pPr>
            <w:r>
              <w:rPr>
                <w:rFonts w:hint="eastAsia" w:ascii="宋体" w:hAnsi="宋体" w:cs="宋体"/>
                <w:color w:val="000000"/>
                <w:kern w:val="0"/>
                <w:sz w:val="28"/>
                <w:szCs w:val="28"/>
                <w:lang w:bidi="ar"/>
              </w:rPr>
              <w:t>金额单位：元</w:t>
            </w:r>
          </w:p>
        </w:tc>
      </w:tr>
      <w:tr>
        <w:tblPrEx>
          <w:tblCellMar>
            <w:top w:w="0" w:type="dxa"/>
            <w:left w:w="0" w:type="dxa"/>
            <w:bottom w:w="0" w:type="dxa"/>
            <w:right w:w="0" w:type="dxa"/>
          </w:tblCellMar>
        </w:tblPrEx>
        <w:trPr>
          <w:trHeight w:val="1724" w:hRule="atLeast"/>
        </w:trPr>
        <w:tc>
          <w:tcPr>
            <w:tcW w:w="72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2186"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货物（或应税劳务、服务等）名称</w:t>
            </w:r>
          </w:p>
        </w:tc>
        <w:tc>
          <w:tcPr>
            <w:tcW w:w="248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货物</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（或应税劳务、服务等）特征（规格、品牌）</w:t>
            </w:r>
          </w:p>
        </w:tc>
        <w:tc>
          <w:tcPr>
            <w:tcW w:w="1043"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计量原则及单位</w:t>
            </w:r>
          </w:p>
        </w:tc>
        <w:tc>
          <w:tcPr>
            <w:tcW w:w="989"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暂定数量</w:t>
            </w:r>
          </w:p>
        </w:tc>
        <w:tc>
          <w:tcPr>
            <w:tcW w:w="71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137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税前单价</w:t>
            </w:r>
          </w:p>
        </w:tc>
        <w:tc>
          <w:tcPr>
            <w:tcW w:w="137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税前合价</w:t>
            </w:r>
          </w:p>
        </w:tc>
        <w:tc>
          <w:tcPr>
            <w:tcW w:w="142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含税单价</w:t>
            </w:r>
          </w:p>
        </w:tc>
        <w:tc>
          <w:tcPr>
            <w:tcW w:w="147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税后合价</w:t>
            </w:r>
          </w:p>
        </w:tc>
      </w:tr>
      <w:tr>
        <w:tblPrEx>
          <w:tblCellMar>
            <w:top w:w="0" w:type="dxa"/>
            <w:left w:w="0" w:type="dxa"/>
            <w:bottom w:w="0" w:type="dxa"/>
            <w:right w:w="0" w:type="dxa"/>
          </w:tblCellMar>
        </w:tblPrEx>
        <w:trPr>
          <w:trHeight w:val="583" w:hRule="atLeast"/>
        </w:trPr>
        <w:tc>
          <w:tcPr>
            <w:tcW w:w="72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Times New Roman" w:hAnsi="Times New Roman"/>
                <w:color w:val="000000"/>
                <w:sz w:val="28"/>
                <w:szCs w:val="28"/>
              </w:rPr>
            </w:pPr>
          </w:p>
        </w:tc>
        <w:tc>
          <w:tcPr>
            <w:tcW w:w="218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248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43"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989"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71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137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1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142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c>
          <w:tcPr>
            <w:tcW w:w="147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宋体"/>
                <w:color w:val="000000"/>
                <w:sz w:val="28"/>
                <w:szCs w:val="28"/>
                <w:lang w:val="en-US" w:eastAsia="zh-CN"/>
              </w:rPr>
            </w:pPr>
          </w:p>
        </w:tc>
      </w:tr>
      <w:tr>
        <w:tblPrEx>
          <w:tblCellMar>
            <w:top w:w="0" w:type="dxa"/>
            <w:left w:w="0" w:type="dxa"/>
            <w:bottom w:w="0" w:type="dxa"/>
            <w:right w:w="0" w:type="dxa"/>
          </w:tblCellMar>
        </w:tblPrEx>
        <w:trPr>
          <w:trHeight w:val="583" w:hRule="atLeast"/>
        </w:trPr>
        <w:tc>
          <w:tcPr>
            <w:tcW w:w="72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218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248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104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98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717"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1379"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left"/>
              <w:rPr>
                <w:rFonts w:ascii="Times New Roman" w:hAnsi="Times New Roman"/>
                <w:color w:val="000000"/>
                <w:sz w:val="28"/>
                <w:szCs w:val="28"/>
              </w:rPr>
            </w:pPr>
          </w:p>
        </w:tc>
        <w:tc>
          <w:tcPr>
            <w:tcW w:w="137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ascii="Times New Roman" w:hAnsi="Times New Roman"/>
                <w:color w:val="000000"/>
                <w:sz w:val="28"/>
                <w:szCs w:val="28"/>
              </w:rPr>
            </w:pPr>
          </w:p>
        </w:tc>
        <w:tc>
          <w:tcPr>
            <w:tcW w:w="142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ascii="Times New Roman" w:hAnsi="Times New Roman"/>
                <w:color w:val="000000"/>
                <w:sz w:val="28"/>
                <w:szCs w:val="28"/>
                <w:highlight w:val="none"/>
              </w:rPr>
            </w:pPr>
          </w:p>
        </w:tc>
        <w:tc>
          <w:tcPr>
            <w:tcW w:w="147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highlight w:val="none"/>
                <w:u w:val="none"/>
                <w:lang w:val="en-US" w:eastAsia="zh-CN" w:bidi="ar-SA"/>
              </w:rPr>
            </w:pPr>
          </w:p>
        </w:tc>
      </w:tr>
      <w:tr>
        <w:tblPrEx>
          <w:tblCellMar>
            <w:top w:w="0" w:type="dxa"/>
            <w:left w:w="0" w:type="dxa"/>
            <w:bottom w:w="0" w:type="dxa"/>
            <w:right w:w="0" w:type="dxa"/>
          </w:tblCellMar>
        </w:tblPrEx>
        <w:trPr>
          <w:trHeight w:val="635" w:hRule="atLeast"/>
        </w:trPr>
        <w:tc>
          <w:tcPr>
            <w:tcW w:w="726" w:type="dxa"/>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说明：</w:t>
            </w:r>
          </w:p>
        </w:tc>
        <w:tc>
          <w:tcPr>
            <w:tcW w:w="10173" w:type="dxa"/>
            <w:gridSpan w:val="7"/>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Times New Roman" w:hAnsi="Times New Roman"/>
                <w:color w:val="000000"/>
                <w:sz w:val="28"/>
                <w:szCs w:val="28"/>
              </w:rPr>
            </w:pPr>
          </w:p>
        </w:tc>
        <w:tc>
          <w:tcPr>
            <w:tcW w:w="1421" w:type="dxa"/>
            <w:tcBorders>
              <w:top w:val="nil"/>
              <w:left w:val="nil"/>
              <w:bottom w:val="nil"/>
              <w:right w:val="nil"/>
            </w:tcBorders>
            <w:shd w:val="clear" w:color="auto" w:fill="auto"/>
            <w:tcMar>
              <w:top w:w="12" w:type="dxa"/>
              <w:left w:w="12" w:type="dxa"/>
              <w:right w:w="12" w:type="dxa"/>
            </w:tcMar>
            <w:vAlign w:val="center"/>
          </w:tcPr>
          <w:p>
            <w:pPr>
              <w:jc w:val="left"/>
              <w:rPr>
                <w:rFonts w:ascii="Times New Roman" w:hAnsi="Times New Roman"/>
                <w:color w:val="000000"/>
                <w:sz w:val="33"/>
                <w:szCs w:val="33"/>
              </w:rPr>
            </w:pPr>
          </w:p>
        </w:tc>
        <w:tc>
          <w:tcPr>
            <w:tcW w:w="1478" w:type="dxa"/>
            <w:tcBorders>
              <w:top w:val="nil"/>
              <w:left w:val="nil"/>
              <w:bottom w:val="nil"/>
              <w:right w:val="nil"/>
            </w:tcBorders>
            <w:shd w:val="clear" w:color="auto" w:fill="auto"/>
            <w:tcMar>
              <w:top w:w="12" w:type="dxa"/>
              <w:left w:w="12" w:type="dxa"/>
              <w:right w:w="12" w:type="dxa"/>
            </w:tcMar>
            <w:vAlign w:val="center"/>
          </w:tcPr>
          <w:p>
            <w:pPr>
              <w:jc w:val="left"/>
              <w:rPr>
                <w:rFonts w:ascii="Times New Roman" w:hAnsi="Times New Roman"/>
                <w:color w:val="000000"/>
                <w:sz w:val="33"/>
                <w:szCs w:val="33"/>
              </w:rPr>
            </w:pPr>
          </w:p>
        </w:tc>
      </w:tr>
      <w:tr>
        <w:tblPrEx>
          <w:tblCellMar>
            <w:top w:w="0" w:type="dxa"/>
            <w:left w:w="0" w:type="dxa"/>
            <w:bottom w:w="0" w:type="dxa"/>
            <w:right w:w="0" w:type="dxa"/>
          </w:tblCellMar>
        </w:tblPrEx>
        <w:trPr>
          <w:trHeight w:val="635" w:hRule="atLeast"/>
        </w:trPr>
        <w:tc>
          <w:tcPr>
            <w:tcW w:w="726" w:type="dxa"/>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hint="eastAsia" w:ascii="宋体" w:hAnsi="宋体" w:cs="宋体"/>
                <w:color w:val="000000"/>
                <w:kern w:val="0"/>
                <w:sz w:val="28"/>
                <w:szCs w:val="28"/>
                <w:lang w:bidi="ar"/>
              </w:rPr>
            </w:pPr>
          </w:p>
        </w:tc>
        <w:tc>
          <w:tcPr>
            <w:tcW w:w="13072" w:type="dxa"/>
            <w:gridSpan w:val="9"/>
            <w:tcBorders>
              <w:top w:val="nil"/>
              <w:left w:val="nil"/>
              <w:bottom w:val="nil"/>
              <w:right w:val="nil"/>
            </w:tcBorders>
            <w:shd w:val="clear" w:color="auto" w:fill="auto"/>
            <w:tcMar>
              <w:top w:w="12" w:type="dxa"/>
              <w:left w:w="12" w:type="dxa"/>
              <w:right w:w="12" w:type="dxa"/>
            </w:tcMar>
            <w:vAlign w:val="center"/>
          </w:tcPr>
          <w:p>
            <w:pPr>
              <w:jc w:val="left"/>
              <w:rPr>
                <w:rFonts w:ascii="Times New Roman" w:hAnsi="Times New Roman"/>
                <w:color w:val="000000"/>
                <w:sz w:val="33"/>
                <w:szCs w:val="33"/>
              </w:rPr>
            </w:pPr>
          </w:p>
        </w:tc>
      </w:tr>
    </w:tbl>
    <w:p>
      <w:pPr>
        <w:widowControl/>
        <w:ind w:firstLine="2409" w:firstLineChars="800"/>
        <w:jc w:val="left"/>
        <w:rPr>
          <w:rFonts w:hint="eastAsia" w:ascii="宋体" w:cs="宋体"/>
          <w:b/>
          <w:sz w:val="30"/>
          <w:lang w:val="en-US" w:eastAsia="zh-CN"/>
        </w:rPr>
      </w:pPr>
      <w:r>
        <w:rPr>
          <w:rFonts w:hint="eastAsia" w:ascii="宋体" w:cs="宋体"/>
          <w:b/>
          <w:sz w:val="30"/>
          <w:lang w:val="en-US" w:eastAsia="zh-CN"/>
        </w:rPr>
        <w:t xml:space="preserve">    </w:t>
      </w:r>
    </w:p>
    <w:p>
      <w:pPr>
        <w:widowControl/>
        <w:ind w:firstLine="2409" w:firstLineChars="800"/>
        <w:jc w:val="left"/>
        <w:rPr>
          <w:rFonts w:hint="eastAsia" w:ascii="宋体" w:cs="宋体"/>
          <w:b/>
          <w:sz w:val="30"/>
          <w:lang w:val="en-US" w:eastAsia="zh-CN"/>
        </w:rPr>
      </w:pPr>
    </w:p>
    <w:p>
      <w:pPr>
        <w:widowControl/>
        <w:ind w:firstLine="2409" w:firstLineChars="800"/>
        <w:jc w:val="left"/>
        <w:rPr>
          <w:rFonts w:hint="eastAsia" w:ascii="宋体" w:cs="宋体"/>
          <w:b/>
          <w:sz w:val="30"/>
          <w:lang w:val="en-US" w:eastAsia="zh-CN"/>
        </w:rPr>
      </w:pPr>
    </w:p>
    <w:p>
      <w:pPr>
        <w:widowControl/>
        <w:ind w:firstLine="5120" w:firstLineChars="1700"/>
        <w:jc w:val="left"/>
        <w:rPr>
          <w:rFonts w:hint="eastAsia" w:ascii="宋体" w:cs="宋体"/>
          <w:b/>
          <w:sz w:val="30"/>
          <w:lang w:val="en-US" w:eastAsia="zh-CN"/>
        </w:rPr>
        <w:sectPr>
          <w:pgSz w:w="16838" w:h="11906" w:orient="landscape"/>
          <w:pgMar w:top="1417" w:right="1417" w:bottom="1417" w:left="1417" w:header="851" w:footer="992" w:gutter="0"/>
          <w:cols w:space="425" w:num="1"/>
          <w:docGrid w:type="lines" w:linePitch="312" w:charSpace="0"/>
        </w:sectPr>
      </w:pPr>
      <w:r>
        <w:rPr>
          <w:rFonts w:hint="eastAsia" w:ascii="宋体" w:cs="宋体"/>
          <w:b/>
          <w:sz w:val="30"/>
          <w:lang w:val="en-US" w:eastAsia="zh-CN"/>
        </w:rPr>
        <w:t xml:space="preserve"> </w:t>
      </w:r>
    </w:p>
    <w:p>
      <w:pPr>
        <w:widowControl/>
        <w:ind w:firstLine="5120" w:firstLineChars="1700"/>
        <w:jc w:val="left"/>
        <w:rPr>
          <w:rFonts w:hint="eastAsia" w:ascii="宋体" w:hAnsi="宋体" w:cs="宋体"/>
          <w:b/>
          <w:sz w:val="30"/>
        </w:rPr>
        <w:sectPr>
          <w:pgSz w:w="11906" w:h="16838"/>
          <w:pgMar w:top="1417" w:right="1417" w:bottom="1417" w:left="1417" w:header="851" w:footer="992" w:gutter="0"/>
          <w:cols w:space="425" w:num="1"/>
          <w:docGrid w:type="lines" w:linePitch="312" w:charSpace="0"/>
        </w:sectPr>
      </w:pPr>
    </w:p>
    <w:p>
      <w:pPr>
        <w:widowControl/>
        <w:jc w:val="left"/>
        <w:rPr>
          <w:rFonts w:hint="eastAsia" w:ascii="宋体" w:hAnsi="宋体" w:cs="宋体"/>
          <w:b/>
          <w:sz w:val="30"/>
        </w:rPr>
      </w:pPr>
      <w:r>
        <w:rPr>
          <w:rFonts w:hint="eastAsia" w:ascii="宋体" w:hAnsi="宋体" w:cs="宋体"/>
          <w:b/>
          <w:sz w:val="30"/>
        </w:rPr>
        <w:t>第六部分</w:t>
      </w:r>
    </w:p>
    <w:p>
      <w:pPr>
        <w:widowControl/>
        <w:ind w:firstLine="3313" w:firstLineChars="1100"/>
        <w:jc w:val="left"/>
        <w:rPr>
          <w:rFonts w:ascii="宋体" w:cs="宋体"/>
          <w:b/>
          <w:color w:val="000000"/>
          <w:sz w:val="44"/>
          <w:szCs w:val="44"/>
          <w:u w:val="single"/>
        </w:rPr>
      </w:pPr>
      <w:r>
        <w:rPr>
          <w:rFonts w:hint="eastAsia" w:ascii="宋体" w:hAnsi="宋体" w:cs="宋体"/>
          <w:b/>
          <w:sz w:val="30"/>
        </w:rPr>
        <w:t>投标文件格式</w:t>
      </w:r>
    </w:p>
    <w:p>
      <w:pPr>
        <w:spacing w:line="560" w:lineRule="exact"/>
        <w:jc w:val="center"/>
        <w:rPr>
          <w:b/>
          <w:sz w:val="36"/>
          <w:szCs w:val="36"/>
        </w:rPr>
      </w:pPr>
      <w:r>
        <w:rPr>
          <w:rFonts w:hint="eastAsia"/>
          <w:b/>
          <w:bCs/>
          <w:sz w:val="44"/>
          <w:szCs w:val="44"/>
          <w:lang w:val="en-US" w:eastAsia="zh-CN"/>
        </w:rPr>
        <w:t>璧山国家高新区景山人才培育中心基础设施建设项目钢筋桁架混凝土叠合楼板底板采购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3534" w:firstLineChars="1100"/>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ind w:firstLine="3534" w:firstLineChars="1100"/>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ind w:firstLine="3213" w:firstLineChars="1000"/>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val="en-US" w:eastAsia="zh-CN"/>
        </w:rPr>
        <w:t>璧山国家高新区景山人才培育中心基础设施建设项目钢筋桁架混凝土叠合楼板底板</w:t>
      </w:r>
      <w:r>
        <w:rPr>
          <w:rFonts w:hint="eastAsia" w:ascii="宋体" w:hAnsi="宋体" w:cs="宋体"/>
          <w:bCs/>
          <w:sz w:val="28"/>
          <w:u w:val="single"/>
          <w:lang w:eastAsia="zh-CN"/>
        </w:rPr>
        <w:t>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500861027"/>
      <w:bookmarkStart w:id="14" w:name="_Toc26066260"/>
      <w:bookmarkStart w:id="15" w:name="_Toc90779596"/>
      <w:bookmarkStart w:id="16" w:name="_Toc491658680"/>
      <w:bookmarkStart w:id="17" w:name="_Toc6397151"/>
      <w:bookmarkStart w:id="18" w:name="_Toc65998016"/>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3"/>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noWrap w:val="0"/>
            <w:vAlign w:val="top"/>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3"/>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noWrap w:val="0"/>
            <w:vAlign w:val="top"/>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bCs/>
          <w:sz w:val="28"/>
          <w:u w:val="single"/>
          <w:lang w:val="en-US" w:eastAsia="zh-CN"/>
        </w:rPr>
        <w:t>璧山国家高新区景山人才培育中心基础设施建设项目钢筋桁架混凝土叠合楼板底板采购</w:t>
      </w:r>
      <w:r>
        <w:rPr>
          <w:rFonts w:hint="eastAsia" w:ascii="宋体" w:hAnsi="宋体" w:cs="宋体"/>
          <w:sz w:val="28"/>
          <w:szCs w:val="28"/>
        </w:rPr>
        <w:t>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5pt;margin-top:24.45pt;height:170.45pt;width:440.65pt;z-index:251660288;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bCs/>
          <w:sz w:val="28"/>
          <w:szCs w:val="28"/>
        </w:rPr>
        <w:sectPr>
          <w:pgSz w:w="11906" w:h="16838"/>
          <w:pgMar w:top="1417" w:right="1417" w:bottom="1417" w:left="1417" w:header="851" w:footer="992" w:gutter="0"/>
          <w:cols w:space="425" w:num="1"/>
          <w:docGrid w:type="lines" w:linePitch="312" w:charSpace="0"/>
        </w:sectPr>
      </w:pPr>
      <w:r>
        <w:rPr>
          <w:rFonts w:ascii="宋体"/>
          <w:bCs/>
          <w:sz w:val="28"/>
          <w:szCs w:val="28"/>
        </w:rPr>
        <w:br w:type="page"/>
      </w:r>
      <w:bookmarkStart w:id="21" w:name="_Toc123786882"/>
    </w:p>
    <w:p>
      <w:pPr>
        <w:widowControl/>
        <w:jc w:val="center"/>
        <w:outlineLvl w:val="4"/>
        <w:rPr>
          <w:rFonts w:ascii="宋体" w:cs="宋体"/>
          <w:b/>
          <w:sz w:val="28"/>
          <w:szCs w:val="28"/>
        </w:rPr>
      </w:pPr>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bCs/>
          <w:sz w:val="28"/>
          <w:u w:val="single"/>
          <w:lang w:val="en-US" w:eastAsia="zh-CN"/>
        </w:rPr>
        <w:t>璧山国家高新区景山人才培育中心基础设施建设项目钢筋桁架混凝土叠合楼板底板采购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3" name="矩形 3"/>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21.1pt;margin-top:24.7pt;height:157.55pt;width:448.1pt;z-index:251659264;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Hz2BioHAgAAOAQAAA4AAABkcnMvZTJvRG9jLnhtbK1T&#10;zY7TMBC+I/EOlu80aavubqOme6CUC4KVdnkA13YSS/6Tx23Sp0HixkPwOIjXYOyG0l049EAOyed4&#10;/M1834xX94PR5CADKGdrOp2UlEjLnVC2rennp+2bO0ogMiuYdlbW9CiB3q9fv1r1vpIz1zktZCBI&#10;YqHqfU27GH1VFMA7aRhMnJcWNxsXDIu4DG0hAuuR3ehiVpY3Re+C8MFxCYB/N6dNOjKGawhd0ygu&#10;N47vjbTxxBqkZhElQac80HWutmkkj5+aBmQkuqaoNOY3JkG8S+9ivWJVG5jvFB9LYNeU8EKTYcpi&#10;0jPVhkVG9kH9RWUUDw5cEyfcmeIkJDuCKqblC28eO+Zl1oJWgz+bDv+Pln88PASiRE3nlFhmsOE/&#10;v3z78f0rmSdveg8Vhjz6hzCuAGESOjTBpC9KIEP283j2Uw6RcPy5uFmWd7doNcc97H15O18m1uLP&#10;cR8gvpfOkARqGrBh2Ud2+ADxFPo7JGUDp5XYKq3zIrS7tzqQA8PmbvMzsj8L05b0NV0uZgsshOHE&#10;NjgpCI1H1WDbnO/ZCbgkxrLx+RdxKmzDoDsVkBlSGKuMijJk1Ekm3llB4tGjsxYvFE3FGCko0RLv&#10;X0I5MjKlr4lE77RNSWSe7tGl1KdTZxKKw25A0gR3ThyxwXsfVNuhwdMsJO3gQOVOjMOfJvZyjfjy&#10;wq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i+o+rZAAAACgEAAA8AAAAAAAAAAQAgAAAAIgAA&#10;AGRycy9kb3ducmV2LnhtbFBLAQIUABQAAAAIAIdO4kB89gYqBwIAADgEAAAOAAAAAAAAAAEAIAAA&#10;ACgBAABkcnMvZTJvRG9jLnhtbFBLBQYAAAAABgAGAFkBAAChBQAAAAA=&#10;">
                <v:fill on="t" focussize="0,0"/>
                <v:stroke color="#000000" joinstyle="miter"/>
                <v:imagedata o:title=""/>
                <o:lock v:ext="edit" aspectratio="f"/>
                <v:textbox>
                  <w:txbxContent>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0"/>
          <w:numId w:val="0"/>
        </w:numPr>
        <w:outlineLvl w:val="4"/>
        <w:rPr>
          <w:rFonts w:ascii="宋体" w:cs="宋体"/>
          <w:b/>
          <w:sz w:val="28"/>
          <w:szCs w:val="28"/>
        </w:rPr>
        <w:sectPr>
          <w:pgSz w:w="11906" w:h="16838"/>
          <w:pgMar w:top="1417" w:right="1417" w:bottom="1417" w:left="1417" w:header="851" w:footer="992" w:gutter="0"/>
          <w:cols w:space="425" w:num="1"/>
          <w:docGrid w:type="lines" w:linePitch="312" w:charSpace="0"/>
        </w:sectPr>
      </w:pPr>
      <w:bookmarkStart w:id="22" w:name="_Toc123786886"/>
    </w:p>
    <w:p>
      <w:pPr>
        <w:widowControl/>
        <w:numPr>
          <w:ilvl w:val="0"/>
          <w:numId w:val="0"/>
        </w:numPr>
        <w:jc w:val="center"/>
        <w:outlineLvl w:val="4"/>
        <w:rPr>
          <w:rFonts w:ascii="宋体" w:hAnsi="宋体" w:cs="宋体"/>
          <w:b/>
          <w:sz w:val="28"/>
          <w:szCs w:val="28"/>
          <w:highlight w:val="none"/>
        </w:rPr>
      </w:pPr>
      <w:r>
        <w:rPr>
          <w:rFonts w:hint="eastAsia" w:ascii="宋体" w:hAnsi="宋体" w:cs="宋体"/>
          <w:b/>
          <w:sz w:val="28"/>
          <w:szCs w:val="28"/>
          <w:highlight w:val="none"/>
        </w:rPr>
        <w:t>四、投标报价表（材料采购）</w:t>
      </w:r>
    </w:p>
    <w:p>
      <w:pPr>
        <w:widowControl/>
        <w:numPr>
          <w:ilvl w:val="0"/>
          <w:numId w:val="0"/>
        </w:numPr>
        <w:ind w:firstLine="11290" w:firstLineChars="4686"/>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3"/>
        <w:tblW w:w="13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69"/>
        <w:gridCol w:w="1984"/>
        <w:gridCol w:w="733"/>
        <w:gridCol w:w="1334"/>
        <w:gridCol w:w="1450"/>
        <w:gridCol w:w="1418"/>
        <w:gridCol w:w="1469"/>
        <w:gridCol w:w="146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56"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669" w:type="dxa"/>
            <w:vMerge w:val="restart"/>
            <w:tcBorders>
              <w:top w:val="single" w:color="auto" w:sz="4" w:space="0"/>
              <w:left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名称</w:t>
            </w:r>
          </w:p>
        </w:tc>
        <w:tc>
          <w:tcPr>
            <w:tcW w:w="1984"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rPr>
              <w:t>规格型号</w:t>
            </w:r>
          </w:p>
        </w:tc>
        <w:tc>
          <w:tcPr>
            <w:tcW w:w="733"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计量单位</w:t>
            </w:r>
          </w:p>
        </w:tc>
        <w:tc>
          <w:tcPr>
            <w:tcW w:w="1334"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暂定数量</w:t>
            </w:r>
          </w:p>
        </w:tc>
        <w:tc>
          <w:tcPr>
            <w:tcW w:w="2868" w:type="dxa"/>
            <w:gridSpan w:val="2"/>
            <w:tcBorders>
              <w:top w:val="single" w:color="auto" w:sz="4" w:space="0"/>
              <w:left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限价（含税）</w:t>
            </w:r>
          </w:p>
        </w:tc>
        <w:tc>
          <w:tcPr>
            <w:tcW w:w="29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highlight w:val="none"/>
              </w:rPr>
            </w:pPr>
            <w:r>
              <w:rPr>
                <w:rFonts w:hint="eastAsia" w:ascii="宋体" w:hAnsi="宋体" w:eastAsia="宋体" w:cs="宋体"/>
                <w:sz w:val="24"/>
                <w:szCs w:val="24"/>
                <w:highlight w:val="none"/>
              </w:rPr>
              <w:t>报价（含税）</w:t>
            </w:r>
          </w:p>
        </w:tc>
        <w:tc>
          <w:tcPr>
            <w:tcW w:w="956" w:type="dxa"/>
            <w:tcBorders>
              <w:top w:val="single" w:color="auto" w:sz="4" w:space="0"/>
              <w:left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56"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p>
        </w:tc>
        <w:tc>
          <w:tcPr>
            <w:tcW w:w="1669" w:type="dxa"/>
            <w:vMerge w:val="continue"/>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p>
        </w:tc>
        <w:tc>
          <w:tcPr>
            <w:tcW w:w="1984"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kern w:val="0"/>
                <w:sz w:val="24"/>
                <w:szCs w:val="24"/>
                <w:highlight w:val="none"/>
              </w:rPr>
            </w:pPr>
          </w:p>
        </w:tc>
        <w:tc>
          <w:tcPr>
            <w:tcW w:w="733"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kern w:val="0"/>
                <w:sz w:val="24"/>
                <w:szCs w:val="24"/>
                <w:highlight w:val="none"/>
              </w:rPr>
            </w:pPr>
          </w:p>
        </w:tc>
        <w:tc>
          <w:tcPr>
            <w:tcW w:w="1334"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textAlignment w:val="center"/>
              <w:rPr>
                <w:rFonts w:ascii="宋体" w:hAnsi="宋体" w:eastAsia="宋体" w:cs="宋体"/>
                <w:kern w:val="0"/>
                <w:sz w:val="24"/>
                <w:szCs w:val="24"/>
                <w:highlight w:val="none"/>
              </w:rPr>
            </w:pPr>
          </w:p>
        </w:tc>
        <w:tc>
          <w:tcPr>
            <w:tcW w:w="1450" w:type="dxa"/>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单价</w:t>
            </w:r>
          </w:p>
        </w:tc>
        <w:tc>
          <w:tcPr>
            <w:tcW w:w="1418" w:type="dxa"/>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合价</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单价</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合价</w:t>
            </w:r>
          </w:p>
        </w:tc>
        <w:tc>
          <w:tcPr>
            <w:tcW w:w="956" w:type="dxa"/>
            <w:tcBorders>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center"/>
              <w:textAlignment w:val="bottom"/>
              <w:rPr>
                <w:rFonts w:hint="eastAsia" w:ascii="宋体" w:hAnsi="宋体" w:cs="宋体"/>
                <w:color w:val="000000"/>
                <w:kern w:val="0"/>
                <w:sz w:val="24"/>
                <w:szCs w:val="24"/>
                <w:highlight w:val="none"/>
                <w:u w:val="none"/>
                <w:lang w:val="en-US" w:eastAsia="zh-CN" w:bidi="ar"/>
              </w:rPr>
            </w:pPr>
            <w:r>
              <w:rPr>
                <w:rFonts w:hint="eastAsia" w:ascii="宋体" w:hAnsi="宋体" w:cs="宋体"/>
                <w:i w:val="0"/>
                <w:color w:val="000000"/>
                <w:kern w:val="0"/>
                <w:sz w:val="24"/>
                <w:szCs w:val="24"/>
                <w:u w:val="none"/>
                <w:lang w:val="en-US" w:eastAsia="zh-CN" w:bidi="ar"/>
              </w:rPr>
              <w:t>1</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钢筋桁架混凝土叠合楼板底板</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具体详叠合楼板深化设计图；混凝土型号C30；</w:t>
            </w:r>
          </w:p>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钢筋含钢量161kg/m3</w:t>
            </w:r>
          </w:p>
        </w:tc>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Style w:val="5"/>
                <w:lang w:val="en-US" w:eastAsia="zh-CN" w:bidi="ar"/>
              </w:rPr>
              <w:t>m</w:t>
            </w:r>
            <w:r>
              <w:rPr>
                <w:rStyle w:val="6"/>
                <w:lang w:val="en-US" w:eastAsia="zh-CN" w:bidi="ar"/>
              </w:rPr>
              <w:t>3</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2500.00 </w:t>
            </w:r>
          </w:p>
        </w:tc>
        <w:tc>
          <w:tcPr>
            <w:tcW w:w="1450"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2650.00 </w:t>
            </w:r>
          </w:p>
        </w:tc>
        <w:tc>
          <w:tcPr>
            <w:tcW w:w="1418" w:type="dxa"/>
            <w:tcBorders>
              <w:lef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6625000.00 </w:t>
            </w:r>
          </w:p>
        </w:tc>
        <w:tc>
          <w:tcPr>
            <w:tcW w:w="1469" w:type="dxa"/>
            <w:tcBorders>
              <w:left w:val="single" w:color="auto" w:sz="4" w:space="0"/>
            </w:tcBorders>
            <w:noWrap w:val="0"/>
            <w:vAlign w:val="top"/>
          </w:tcPr>
          <w:p>
            <w:pPr>
              <w:spacing w:line="400" w:lineRule="exact"/>
              <w:jc w:val="center"/>
              <w:rPr>
                <w:rFonts w:ascii="Times New Roman" w:hAnsi="Times New Roman"/>
                <w:sz w:val="24"/>
                <w:highlight w:val="none"/>
              </w:rPr>
            </w:pPr>
          </w:p>
        </w:tc>
        <w:tc>
          <w:tcPr>
            <w:tcW w:w="1468" w:type="dxa"/>
            <w:tcBorders>
              <w:left w:val="single" w:color="auto" w:sz="4" w:space="0"/>
            </w:tcBorders>
            <w:noWrap w:val="0"/>
            <w:vAlign w:val="top"/>
          </w:tcPr>
          <w:p>
            <w:pPr>
              <w:spacing w:line="400" w:lineRule="exact"/>
              <w:jc w:val="center"/>
              <w:rPr>
                <w:rFonts w:ascii="Times New Roman" w:hAnsi="Times New Roman"/>
                <w:sz w:val="24"/>
                <w:highlight w:val="none"/>
              </w:rPr>
            </w:pPr>
          </w:p>
        </w:tc>
        <w:tc>
          <w:tcPr>
            <w:tcW w:w="956" w:type="dxa"/>
            <w:tcBorders>
              <w:left w:val="single" w:color="auto" w:sz="4" w:space="0"/>
            </w:tcBorders>
            <w:noWrap w:val="0"/>
            <w:vAlign w:val="center"/>
          </w:tcPr>
          <w:p>
            <w:pPr>
              <w:spacing w:line="400" w:lineRule="exact"/>
              <w:jc w:val="center"/>
              <w:rPr>
                <w:rFonts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376" w:type="dxa"/>
            <w:gridSpan w:val="5"/>
            <w:tcBorders>
              <w:top w:val="single" w:color="auto" w:sz="4" w:space="0"/>
              <w:left w:val="single" w:color="auto" w:sz="4" w:space="0"/>
              <w:bottom w:val="single" w:color="auto" w:sz="4" w:space="0"/>
            </w:tcBorders>
            <w:noWrap w:val="0"/>
            <w:vAlign w:val="center"/>
          </w:tcPr>
          <w:p>
            <w:pPr>
              <w:widowControl/>
              <w:jc w:val="center"/>
              <w:textAlignment w:val="center"/>
              <w:rPr>
                <w:rFonts w:ascii="Times New Roman" w:hAnsi="Times New Roman" w:cs="宋体"/>
                <w:sz w:val="24"/>
                <w:highlight w:val="none"/>
              </w:rPr>
            </w:pPr>
            <w:r>
              <w:rPr>
                <w:rFonts w:hint="eastAsia" w:ascii="Times New Roman" w:hAnsi="Times New Roman" w:cs="宋体"/>
                <w:sz w:val="24"/>
                <w:highlight w:val="none"/>
              </w:rPr>
              <w:t>合计（元）</w:t>
            </w:r>
          </w:p>
        </w:tc>
        <w:tc>
          <w:tcPr>
            <w:tcW w:w="2868" w:type="dxa"/>
            <w:gridSpan w:val="2"/>
            <w:tcBorders>
              <w:left w:val="single" w:color="auto" w:sz="4" w:space="0"/>
              <w:bottom w:val="single" w:color="auto" w:sz="4" w:space="0"/>
            </w:tcBorders>
            <w:noWrap w:val="0"/>
            <w:vAlign w:val="center"/>
          </w:tcPr>
          <w:p>
            <w:pPr>
              <w:spacing w:line="400" w:lineRule="exact"/>
              <w:jc w:val="center"/>
              <w:rPr>
                <w:rFonts w:ascii="Times New Roman" w:hAnsi="Times New Roman"/>
                <w:sz w:val="24"/>
                <w:highlight w:val="none"/>
              </w:rPr>
            </w:pPr>
          </w:p>
        </w:tc>
        <w:tc>
          <w:tcPr>
            <w:tcW w:w="2937" w:type="dxa"/>
            <w:gridSpan w:val="2"/>
            <w:tcBorders>
              <w:left w:val="single" w:color="auto" w:sz="4" w:space="0"/>
              <w:bottom w:val="single" w:color="auto" w:sz="4" w:space="0"/>
            </w:tcBorders>
            <w:noWrap w:val="0"/>
            <w:vAlign w:val="top"/>
          </w:tcPr>
          <w:p>
            <w:pPr>
              <w:spacing w:line="400" w:lineRule="exact"/>
              <w:jc w:val="center"/>
              <w:rPr>
                <w:rFonts w:ascii="Times New Roman" w:hAnsi="Times New Roman"/>
                <w:sz w:val="24"/>
                <w:highlight w:val="none"/>
              </w:rPr>
            </w:pPr>
          </w:p>
        </w:tc>
        <w:tc>
          <w:tcPr>
            <w:tcW w:w="956" w:type="dxa"/>
            <w:tcBorders>
              <w:left w:val="single" w:color="auto" w:sz="4" w:space="0"/>
              <w:bottom w:val="single" w:color="auto" w:sz="4" w:space="0"/>
            </w:tcBorders>
            <w:noWrap w:val="0"/>
            <w:vAlign w:val="center"/>
          </w:tcPr>
          <w:p>
            <w:pPr>
              <w:spacing w:line="400" w:lineRule="exact"/>
              <w:jc w:val="center"/>
              <w:rPr>
                <w:rFonts w:ascii="Times New Roman" w:hAnsi="Times New Roman"/>
                <w:sz w:val="24"/>
                <w:highlight w:val="none"/>
              </w:rPr>
            </w:pPr>
          </w:p>
        </w:tc>
      </w:tr>
    </w:tbl>
    <w:p>
      <w:pPr>
        <w:keepNext w:val="0"/>
        <w:keepLines w:val="0"/>
        <w:pageBreakBefore w:val="0"/>
        <w:widowControl/>
        <w:kinsoku/>
        <w:wordWrap/>
        <w:overflowPunct/>
        <w:topLinePunct w:val="0"/>
        <w:autoSpaceDE/>
        <w:autoSpaceDN/>
        <w:bidi w:val="0"/>
        <w:adjustRightInd/>
        <w:snapToGrid/>
        <w:spacing w:line="280" w:lineRule="exact"/>
        <w:jc w:val="left"/>
        <w:textAlignment w:val="center"/>
        <w:outlineLvl w:val="9"/>
        <w:rPr>
          <w:rFonts w:hint="eastAsia" w:ascii="Times New Roman" w:hAnsi="Times New Roman" w:cs="宋体"/>
          <w:kern w:val="2"/>
          <w:sz w:val="24"/>
          <w:szCs w:val="22"/>
          <w:highlight w:val="none"/>
          <w:u w:val="none"/>
          <w:lang w:val="en-US" w:eastAsia="zh-CN" w:bidi="ar"/>
        </w:rPr>
      </w:pPr>
      <w:r>
        <w:rPr>
          <w:rFonts w:hint="eastAsia" w:ascii="Times New Roman" w:hAnsi="Times New Roman" w:cs="宋体"/>
          <w:sz w:val="24"/>
          <w:highlight w:val="none"/>
        </w:rPr>
        <w:t>说明：</w:t>
      </w:r>
      <w:r>
        <w:rPr>
          <w:rFonts w:hint="eastAsia" w:ascii="Times New Roman" w:hAnsi="Times New Roman" w:eastAsia="宋体" w:cs="宋体"/>
          <w:kern w:val="2"/>
          <w:sz w:val="24"/>
          <w:szCs w:val="22"/>
          <w:highlight w:val="none"/>
          <w:u w:val="none"/>
          <w:lang w:val="en-US" w:eastAsia="zh-CN" w:bidi="ar"/>
        </w:rPr>
        <w:t>1、</w:t>
      </w:r>
      <w:r>
        <w:rPr>
          <w:rFonts w:hint="eastAsia" w:ascii="Times New Roman" w:hAnsi="Times New Roman" w:cs="宋体"/>
          <w:kern w:val="2"/>
          <w:sz w:val="24"/>
          <w:szCs w:val="22"/>
          <w:highlight w:val="none"/>
          <w:u w:val="none"/>
          <w:lang w:val="en-US" w:eastAsia="zh-CN" w:bidi="ar"/>
        </w:rPr>
        <w:t>以上单价包含材料费、吊装预埋件、成品制作费、模具费、预埋管线、运输费、装车费、包装费、指导安装费及构件生产厂家的管理费、利润和税金（税率为13%）等费用，不含现场卸车、存放和安装费用，不提供安装工具、吊具、物料等。</w:t>
      </w:r>
    </w:p>
    <w:p>
      <w:pPr>
        <w:widowControl/>
        <w:spacing w:line="280" w:lineRule="exact"/>
        <w:jc w:val="left"/>
        <w:textAlignment w:val="center"/>
        <w:outlineLvl w:val="9"/>
        <w:rPr>
          <w:rFonts w:hint="eastAsia" w:ascii="Times New Roman" w:hAnsi="Times New Roman" w:cs="宋体"/>
          <w:kern w:val="2"/>
          <w:sz w:val="24"/>
          <w:szCs w:val="22"/>
          <w:highlight w:val="none"/>
          <w:u w:val="none"/>
          <w:lang w:val="en-US" w:eastAsia="zh-CN" w:bidi="ar"/>
        </w:rPr>
      </w:pPr>
      <w:r>
        <w:rPr>
          <w:rFonts w:hint="eastAsia" w:ascii="Times New Roman" w:hAnsi="Times New Roman" w:eastAsia="宋体" w:cs="宋体"/>
          <w:kern w:val="2"/>
          <w:sz w:val="24"/>
          <w:szCs w:val="22"/>
          <w:highlight w:val="none"/>
          <w:u w:val="none"/>
          <w:lang w:val="en-US" w:eastAsia="zh-CN" w:bidi="ar"/>
        </w:rPr>
        <w:t>2、调价原则：</w:t>
      </w:r>
      <w:r>
        <w:rPr>
          <w:rFonts w:hint="eastAsia" w:ascii="Times New Roman" w:hAnsi="Times New Roman" w:cs="宋体"/>
          <w:kern w:val="2"/>
          <w:sz w:val="24"/>
          <w:szCs w:val="22"/>
          <w:highlight w:val="none"/>
          <w:u w:val="none"/>
          <w:lang w:val="en-US" w:eastAsia="zh-CN" w:bidi="ar"/>
        </w:rPr>
        <w:t>供货有效期间混凝土价格不作调整，若钢筋价格涨跌幅度在±5%以内不作调整，超过±5%部分则按实调整。钢筋价格参照《我的钢铁网》2021年2月5日、15日（因春节休假期间钢铁网无钢材价格行情，钢筋参照2月10日的价格）、25日三天重庆市场达钢或威钢Ф8-10 HRB400E的平均值作为基价，即4590元/吨；以供货当月5日、15日、25日三天重庆市场达钢或威钢Ф8-10 HRB400E的平均值作为当月价格进行调差。</w:t>
      </w:r>
    </w:p>
    <w:p>
      <w:pPr>
        <w:ind w:firstLine="2800" w:firstLineChars="1000"/>
        <w:rPr>
          <w:rFonts w:hint="eastAsia" w:ascii="Times New Roman" w:hAnsi="Times New Roman" w:cs="宋体"/>
          <w:sz w:val="28"/>
          <w:szCs w:val="28"/>
        </w:rPr>
      </w:pPr>
    </w:p>
    <w:p>
      <w:pPr>
        <w:ind w:firstLine="2800" w:firstLineChars="1000"/>
        <w:rPr>
          <w:rFonts w:hint="eastAsia"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hint="eastAsia" w:ascii="Times New Roman" w:hAnsi="Times New Roman" w:cs="宋体"/>
          <w:sz w:val="28"/>
          <w:szCs w:val="28"/>
        </w:rPr>
        <w:sectPr>
          <w:pgSz w:w="16838" w:h="11906" w:orient="landscape"/>
          <w:pgMar w:top="1417" w:right="1417" w:bottom="1417" w:left="1417" w:header="851" w:footer="992" w:gutter="0"/>
          <w:cols w:space="425" w:num="1"/>
          <w:docGrid w:type="lines" w:linePitch="312" w:charSpace="0"/>
        </w:sect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p>
    <w:bookmarkEnd w:id="13"/>
    <w:bookmarkEnd w:id="14"/>
    <w:bookmarkEnd w:id="15"/>
    <w:bookmarkEnd w:id="16"/>
    <w:bookmarkEnd w:id="17"/>
    <w:bookmarkEnd w:id="18"/>
    <w:bookmarkEnd w:id="19"/>
    <w:bookmarkEnd w:id="22"/>
    <w:p>
      <w:pPr>
        <w:ind w:firstLine="2811" w:firstLineChars="1000"/>
        <w:rPr>
          <w:rFonts w:ascii="宋体" w:cs="宋体"/>
          <w:b/>
          <w:sz w:val="28"/>
          <w:szCs w:val="28"/>
        </w:rPr>
      </w:pPr>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b/>
          <w:sz w:val="44"/>
          <w:szCs w:val="44"/>
          <w:lang w:val="en-US" w:eastAsia="zh-CN"/>
        </w:rPr>
        <w:t>璧山国家高新区景山人才培育中心基础设施建设项目</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钢筋桁架混凝土叠合楼板底板</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ind w:firstLine="3213" w:firstLineChars="1000"/>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ind w:firstLine="3213" w:firstLineChars="1000"/>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ind w:firstLine="3213" w:firstLineChars="1000"/>
        <w:jc w:val="left"/>
        <w:rPr>
          <w:sz w:val="28"/>
          <w:szCs w:val="28"/>
        </w:rPr>
      </w:pPr>
      <w:r>
        <w:rPr>
          <w:rFonts w:hint="eastAsia" w:cs="宋体"/>
          <w:b/>
          <w:sz w:val="32"/>
          <w:szCs w:val="32"/>
        </w:rPr>
        <w:t>日期：</w:t>
      </w:r>
      <w:r>
        <w:rPr>
          <w:rFonts w:hint="eastAsia" w:cs="宋体"/>
          <w:b/>
          <w:sz w:val="32"/>
          <w:szCs w:val="32"/>
          <w:lang w:val="en-US" w:eastAsia="zh-CN"/>
        </w:rPr>
        <w:t>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pStyle w:val="2"/>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33ABE"/>
    <w:rsid w:val="15833ABE"/>
    <w:rsid w:val="1B237D5B"/>
    <w:rsid w:val="4A0A46A5"/>
    <w:rsid w:val="77F3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autoSpaceDE w:val="0"/>
      <w:autoSpaceDN w:val="0"/>
      <w:adjustRightInd w:val="0"/>
      <w:snapToGrid w:val="0"/>
      <w:spacing w:line="360" w:lineRule="auto"/>
      <w:jc w:val="left"/>
      <w:outlineLvl w:val="1"/>
    </w:pPr>
    <w:rPr>
      <w:rFonts w:ascii="仿宋_GB2312" w:hAnsi="Arial" w:eastAsia="仿宋_GB2312" w:cs="MingLiU"/>
      <w:b/>
      <w:spacing w:val="1"/>
      <w:w w:val="99"/>
      <w:kern w:val="0"/>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2021-06-03T08:08:00Z</dcterms:created>
  <dc:creator>Administrator</dc:creator>
  <cp:lastModifiedBy>Nic</cp:lastModifiedBy>
  <dcterms:modified xsi:type="dcterms:W3CDTF">2021-06-21T01:46:41Z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35C21011C12A41C58F34B567B6CC518D</vt:lpwstr>
  </property>
  <property fmtid="{D5CDD505-2E9C-101B-9397-08002B2CF9AE}" pid="4" name="KSOSaveFontToCloudKey">
    <vt:lpwstr>500924187_cloud</vt:lpwstr>
  </property>
</Properties>
</file>