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default" w:ascii="黑体" w:hAnsi="宋体" w:eastAsia="黑体" w:cs="黑体"/>
          <w:color w:val="auto"/>
          <w:sz w:val="96"/>
          <w:szCs w:val="96"/>
          <w:lang w:val="en-US"/>
        </w:rPr>
      </w:pPr>
      <w:bookmarkStart w:id="9" w:name="_GoBack"/>
      <w:r>
        <w:rPr>
          <w:rFonts w:hint="eastAsia" w:ascii="黑体" w:hAnsi="宋体" w:eastAsia="黑体"/>
          <w:b/>
          <w:color w:val="auto"/>
          <w:sz w:val="44"/>
          <w:szCs w:val="44"/>
          <w:lang w:val="en-US" w:eastAsia="zh-CN"/>
        </w:rPr>
        <w:t>坦桑尼亚分公司塔波拉市政道路升级项目和姆比亚道路升级项目挖掘机、平地机采购</w:t>
      </w:r>
      <w:bookmarkEnd w:id="9"/>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2024-004-002</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3</w:t>
      </w:r>
      <w:r>
        <w:rPr>
          <w:rFonts w:hint="eastAsia" w:ascii="宋体" w:hAnsi="宋体" w:cs="宋体"/>
          <w:color w:val="auto"/>
          <w:sz w:val="28"/>
          <w:szCs w:val="28"/>
        </w:rPr>
        <w:t>月</w:t>
      </w:r>
      <w:r>
        <w:rPr>
          <w:rFonts w:hint="eastAsia" w:ascii="宋体" w:hAnsi="宋体" w:cs="宋体"/>
          <w:color w:val="auto"/>
          <w:sz w:val="28"/>
          <w:szCs w:val="28"/>
          <w:lang w:val="en-US" w:eastAsia="zh-CN"/>
        </w:rPr>
        <w:t>28</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坦桑尼亚分公司塔波拉市政道路升级项目和姆比亚道路升级项目挖掘机、平地机采购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坦桑尼亚分公司塔波拉市政道路升级项目和姆比亚道路升级项目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签订合同后一周</w:t>
      </w:r>
      <w:r>
        <w:rPr>
          <w:rFonts w:hint="eastAsia" w:ascii="宋体" w:hAnsi="宋体" w:cs="宋体"/>
          <w:bCs/>
          <w:color w:val="auto"/>
          <w:sz w:val="28"/>
          <w:lang w:val="en-US" w:eastAsia="zh-CN"/>
        </w:rPr>
        <w:t>内坦桑尼亚交货</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2024年3月28日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2024年3月28日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ind w:right="-358"/>
              <w:textAlignment w:val="auto"/>
              <w:rPr>
                <w:rFonts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tabs>
                <w:tab w:val="left" w:pos="1180"/>
              </w:tabs>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1"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olor w:val="auto"/>
                <w:lang w:val="en-US" w:eastAsia="zh-CN"/>
              </w:rPr>
              <w:t>坦桑尼亚分公司塔波拉市政道路升级项目和姆比亚道路升级项目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招标材料/设备</w:t>
            </w:r>
          </w:p>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eastAsia="宋体"/>
                <w:color w:val="auto"/>
                <w:lang w:val="en-US" w:eastAsia="zh-CN"/>
              </w:rPr>
            </w:pPr>
            <w:r>
              <w:rPr>
                <w:rFonts w:hint="eastAsia" w:ascii="宋体" w:hAnsi="宋体" w:cs="宋体"/>
                <w:color w:val="auto"/>
                <w:szCs w:val="21"/>
                <w:lang w:val="en-US" w:eastAsia="zh-CN"/>
              </w:rPr>
              <w:t>挖掘机2台。发动机额定功率：≥150KW、斗容量：≥1.5方、排放标准：符合国Ⅱ或国III排放标准。平地机1台。发动机额定功率：≥160KW、最大牵引力：≥900NM、排放标准：符合国Ⅱ或国III排放标准。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签订合同后一周内坦桑尼亚交货</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3.投标人自2021年1月1日起至投标截止日止（以合同签订时间为准）具有至少1个与本次招标货物类同的合同业绩（且单个合同总金额不低于60万美元或500万人民币）。</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5.投标人营业执照经营范围应包含工程机械设备生产、销售相关经营范围。</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6.投标人需在坦桑尼亚具有售后维保服务网点。</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7.单位负责人为同一人或者存在控股、管理关系的不同单位不能同时参与投标。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cif价</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color w:val="auto"/>
                <w:szCs w:val="21"/>
                <w:lang w:eastAsia="zh-CN"/>
              </w:rPr>
            </w:pPr>
            <w:r>
              <w:rPr>
                <w:rFonts w:hint="eastAsia" w:ascii="宋体" w:hAnsi="宋体" w:cs="宋体"/>
                <w:color w:val="auto"/>
                <w:kern w:val="0"/>
                <w:sz w:val="20"/>
                <w:szCs w:val="20"/>
                <w:lang w:val="en-US" w:eastAsia="zh-CN" w:bidi="ar"/>
              </w:rPr>
              <w:t>总限价：585,000美元，其中挖掘机单价为210,000美元/台，平地机单价为165,000美元/台，本招标限价为坦桑尼亚现货（含税）价格。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1.</w:t>
            </w:r>
            <w:r>
              <w:rPr>
                <w:rFonts w:hint="eastAsia"/>
                <w:color w:val="auto"/>
              </w:rPr>
              <w:t>投标保证金金额：85,000元人民币或12,000美元。</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2.</w:t>
            </w:r>
            <w:r>
              <w:rPr>
                <w:rFonts w:hint="eastAsia"/>
                <w:color w:val="auto"/>
              </w:rPr>
              <w:t>投标保证金递交时间：以银行电汇、转账形式递交的投标保证金，须在投标截止时间前到达招标人账户。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3.</w:t>
            </w:r>
            <w:r>
              <w:rPr>
                <w:rFonts w:hint="eastAsia"/>
                <w:color w:val="auto"/>
              </w:rPr>
              <w:t>投标保证金有效期：投标截止之日起90日内。</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4.</w:t>
            </w:r>
            <w:r>
              <w:rPr>
                <w:rFonts w:hint="eastAsia"/>
                <w:color w:val="auto"/>
              </w:rPr>
              <w:t>投标保证金形式：银行电汇、转账。</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账户名：重庆对外建设（集团）有限公司</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开户行：重庆农村商业银行两江分行</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  号：5101010120010001423</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5.</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pacing w:line="320" w:lineRule="exact"/>
              <w:ind w:left="13" w:leftChars="6"/>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Theme="minorEastAsia" w:hAnsiTheme="minorEastAsia"/>
                <w:color w:val="auto"/>
                <w:szCs w:val="21"/>
                <w:lang w:val="en-US" w:eastAsia="zh-CN"/>
              </w:rPr>
              <w:t>合同签订后一周内，通知提货后一次性支付合同金额的100%</w:t>
            </w:r>
            <w:r>
              <w:rPr>
                <w:rFonts w:hint="eastAsia" w:asciiTheme="minorEastAsia" w:hAnsiTheme="minorEastAsia"/>
                <w:color w:val="auto"/>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cs="Times New Roman" w:asciiTheme="minorEastAsia" w:hAnsiTheme="minorEastAsia"/>
                <w:color w:val="auto"/>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auto"/>
                <w:szCs w:val="21"/>
                <w:lang w:val="en-US" w:eastAsia="zh-CN"/>
              </w:rPr>
              <w:t>2024</w:t>
            </w:r>
            <w:r>
              <w:rPr>
                <w:rFonts w:hint="eastAsia" w:cs="Times New Roman" w:asciiTheme="minorEastAsia" w:hAnsiTheme="minorEastAsia"/>
                <w:color w:val="auto"/>
                <w:szCs w:val="21"/>
              </w:rPr>
              <w:t>年</w:t>
            </w:r>
            <w:r>
              <w:rPr>
                <w:rFonts w:hint="eastAsia" w:cs="Times New Roman" w:asciiTheme="minorEastAsia" w:hAnsiTheme="minorEastAsia"/>
                <w:color w:val="auto"/>
                <w:szCs w:val="21"/>
                <w:lang w:val="en-US" w:eastAsia="zh-CN"/>
              </w:rPr>
              <w:t>3</w:t>
            </w:r>
            <w:r>
              <w:rPr>
                <w:rFonts w:hint="eastAsia" w:cs="Times New Roman" w:asciiTheme="minorEastAsia" w:hAnsiTheme="minorEastAsia"/>
                <w:color w:val="auto"/>
                <w:szCs w:val="21"/>
              </w:rPr>
              <w:t>月</w:t>
            </w:r>
            <w:r>
              <w:rPr>
                <w:rFonts w:hint="eastAsia" w:cs="Times New Roman" w:asciiTheme="minorEastAsia" w:hAnsiTheme="minorEastAsia"/>
                <w:color w:val="auto"/>
                <w:szCs w:val="21"/>
                <w:lang w:val="en-US" w:eastAsia="zh-CN"/>
              </w:rPr>
              <w:t>29</w:t>
            </w:r>
            <w:r>
              <w:rPr>
                <w:rFonts w:hint="eastAsia" w:cs="Times New Roman" w:asciiTheme="minorEastAsia" w:hAnsiTheme="minorEastAsia"/>
                <w:color w:val="auto"/>
                <w:szCs w:val="21"/>
              </w:rPr>
              <w:t>日至</w:t>
            </w:r>
            <w:r>
              <w:rPr>
                <w:rFonts w:hint="eastAsia" w:cs="Times New Roman" w:asciiTheme="minorEastAsia" w:hAnsiTheme="minorEastAsia"/>
                <w:color w:val="auto"/>
                <w:szCs w:val="21"/>
                <w:lang w:val="en-US" w:eastAsia="zh-CN"/>
              </w:rPr>
              <w:t>2024</w:t>
            </w:r>
            <w:r>
              <w:rPr>
                <w:rFonts w:hint="eastAsia" w:cs="Times New Roman" w:asciiTheme="minorEastAsia" w:hAnsiTheme="minorEastAsia"/>
                <w:color w:val="auto"/>
                <w:szCs w:val="21"/>
              </w:rPr>
              <w:t>年</w:t>
            </w:r>
            <w:r>
              <w:rPr>
                <w:rFonts w:hint="eastAsia" w:cs="Times New Roman" w:asciiTheme="minorEastAsia" w:hAnsiTheme="minorEastAsia"/>
                <w:color w:val="auto"/>
                <w:szCs w:val="21"/>
                <w:lang w:val="en-US" w:eastAsia="zh-CN"/>
              </w:rPr>
              <w:t>4</w:t>
            </w:r>
            <w:r>
              <w:rPr>
                <w:rFonts w:hint="eastAsia" w:cs="Times New Roman" w:asciiTheme="minorEastAsia" w:hAnsiTheme="minorEastAsia"/>
                <w:color w:val="auto"/>
                <w:szCs w:val="21"/>
              </w:rPr>
              <w:t>月</w:t>
            </w:r>
            <w:r>
              <w:rPr>
                <w:rFonts w:hint="eastAsia" w:cs="Times New Roman" w:asciiTheme="minorEastAsia" w:hAnsiTheme="minorEastAsia"/>
                <w:color w:val="auto"/>
                <w:szCs w:val="21"/>
                <w:lang w:val="en-US" w:eastAsia="zh-CN"/>
              </w:rPr>
              <w:t>3</w:t>
            </w:r>
            <w:r>
              <w:rPr>
                <w:rFonts w:hint="eastAsia" w:cs="Times New Roman" w:asciiTheme="minorEastAsia" w:hAnsiTheme="minorEastAsia"/>
                <w:color w:val="auto"/>
                <w:szCs w:val="21"/>
              </w:rPr>
              <w:t>日</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rPr>
            </w:pPr>
            <w:r>
              <w:rPr>
                <w:rFonts w:hint="eastAsia" w:ascii="宋体" w:hAnsi="宋体" w:cs="宋体"/>
                <w:color w:val="auto"/>
                <w:szCs w:val="21"/>
                <w:lang w:eastAsia="zh-CN"/>
              </w:rPr>
              <w:t>截止</w:t>
            </w:r>
            <w:r>
              <w:rPr>
                <w:rFonts w:hint="eastAsia" w:ascii="宋体" w:hAnsi="宋体" w:cs="宋体"/>
                <w:color w:val="auto"/>
                <w:szCs w:val="21"/>
              </w:rPr>
              <w:t xml:space="preserve">时间: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2024</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12</w:t>
            </w:r>
            <w:r>
              <w:rPr>
                <w:rFonts w:hint="eastAsia" w:ascii="宋体" w:hAnsi="宋体" w:eastAsia="宋体" w:cs="宋体"/>
                <w:color w:val="auto"/>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eastAsia="宋体" w:cs="宋体"/>
                <w:color w:val="auto"/>
                <w:szCs w:val="21"/>
              </w:rPr>
              <w:t>开标时间:</w:t>
            </w:r>
            <w:r>
              <w:rPr>
                <w:rFonts w:hint="eastAsia" w:ascii="宋体" w:hAnsi="宋体" w:eastAsia="宋体" w:cs="宋体"/>
                <w:color w:val="auto"/>
                <w:szCs w:val="21"/>
                <w:u w:val="single"/>
                <w:lang w:val="en-US" w:eastAsia="zh-CN"/>
              </w:rPr>
              <w:t>2024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7</w:t>
            </w:r>
            <w:r>
              <w:rPr>
                <w:rFonts w:hint="eastAsia" w:ascii="宋体" w:hAnsi="宋体" w:eastAsia="宋体" w:cs="宋体"/>
                <w:color w:val="auto"/>
                <w:szCs w:val="21"/>
              </w:rPr>
              <w:t>日</w:t>
            </w:r>
            <w:r>
              <w:rPr>
                <w:rFonts w:hint="eastAsia" w:ascii="宋体" w:hAnsi="宋体" w:eastAsia="宋体" w:cs="宋体"/>
                <w:color w:val="auto"/>
                <w:szCs w:val="21"/>
                <w:u w:val="single"/>
              </w:rPr>
              <w:t>15</w:t>
            </w:r>
            <w:r>
              <w:rPr>
                <w:rFonts w:hint="eastAsia" w:ascii="宋体" w:hAnsi="宋体" w:eastAsia="宋体" w:cs="宋体"/>
                <w:color w:val="auto"/>
                <w:szCs w:val="21"/>
              </w:rPr>
              <w:t>时</w:t>
            </w:r>
            <w:r>
              <w:rPr>
                <w:rFonts w:hint="eastAsia" w:ascii="宋体" w:hAnsi="宋体" w:eastAsia="宋体" w:cs="宋体"/>
                <w:color w:val="auto"/>
                <w:szCs w:val="21"/>
                <w:u w:val="single"/>
              </w:rPr>
              <w:t>00</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一、投标文件资料</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（一）资格证明文件：</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3.所在国家售后维修服务证明及维保条款。</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至少1个与本次招标货物类同的合同业绩（且单个合同总金额不低于60万美元或500万人民币）。合同相关页复印件（包含但不限于合同有效页复印件、合同签订各方名称、项目名称、合同签订时间等），业绩证明须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坦桑尼亚</w:t>
            </w:r>
            <w:r>
              <w:rPr>
                <w:rFonts w:hint="eastAsia" w:asciiTheme="minorHAnsi" w:hAnsiTheme="minorHAnsi" w:eastAsiaTheme="minorEastAsia" w:cstheme="minorBidi"/>
                <w:b w:val="0"/>
                <w:bCs w:val="0"/>
                <w:color w:val="auto"/>
                <w:kern w:val="2"/>
                <w:sz w:val="21"/>
                <w:szCs w:val="24"/>
                <w:lang w:val="en-US" w:eastAsia="zh-CN" w:bidi="ar-SA"/>
              </w:rPr>
              <w:t>分公司，付款的币种为美元，投标人在投标截止时间前应具备签外币合同的资格，由此带来的风险由投标人自行承担。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cs="宋体"/>
                <w:color w:val="auto"/>
              </w:rPr>
              <w:t>符</w:t>
            </w:r>
          </w:p>
          <w:p>
            <w:pPr>
              <w:rPr>
                <w:rFonts w:ascii="宋体" w:hAnsi="宋体" w:cs="宋体"/>
                <w:color w:val="auto"/>
              </w:rPr>
            </w:pPr>
            <w:r>
              <w:rPr>
                <w:rFonts w:hint="eastAsia" w:ascii="宋体" w:hAnsi="宋体" w:cs="宋体"/>
                <w:color w:val="auto"/>
              </w:rPr>
              <w:t>合</w:t>
            </w:r>
          </w:p>
          <w:p>
            <w:pPr>
              <w:rPr>
                <w:rFonts w:ascii="宋体" w:hAnsi="宋体" w:cs="宋体"/>
                <w:color w:val="auto"/>
              </w:rPr>
            </w:pPr>
            <w:r>
              <w:rPr>
                <w:rFonts w:hint="eastAsia" w:ascii="宋体" w:hAnsi="宋体" w:cs="宋体"/>
                <w:color w:val="auto"/>
              </w:rPr>
              <w:t>性</w:t>
            </w:r>
          </w:p>
          <w:p>
            <w:pPr>
              <w:rPr>
                <w:rFonts w:ascii="宋体" w:hAnsi="宋体" w:cs="宋体"/>
                <w:color w:val="auto"/>
              </w:rPr>
            </w:pPr>
            <w:r>
              <w:rPr>
                <w:rFonts w:hint="eastAsia" w:ascii="宋体" w:hAnsi="宋体" w:cs="宋体"/>
                <w:color w:val="auto"/>
              </w:rPr>
              <w:t>评</w:t>
            </w:r>
          </w:p>
          <w:p>
            <w:pPr>
              <w:rPr>
                <w:rFonts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投标材料/设备</w:t>
            </w:r>
          </w:p>
          <w:p>
            <w:pPr>
              <w:jc w:val="center"/>
              <w:rPr>
                <w:rFonts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报价</w:t>
            </w:r>
          </w:p>
          <w:p>
            <w:pPr>
              <w:rPr>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评审</w:t>
            </w:r>
          </w:p>
          <w:p>
            <w:pPr>
              <w:rPr>
                <w:rFonts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123786823"/>
      <w:bookmarkStart w:id="1" w:name="_Toc71877702"/>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13.2.1从中华人民共和国境内提供的货物的报价均为到场价，价格组成应包括: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lang w:eastAsia="zh-CN"/>
        </w:rPr>
        <w:t>合同范本</w:t>
      </w:r>
    </w:p>
    <w:p>
      <w:pPr>
        <w:rPr>
          <w:rFonts w:hint="eastAsia" w:ascii="宋体" w:hAnsi="宋体" w:cs="宋体" w:eastAsiaTheme="minorEastAsia"/>
          <w:b/>
          <w:color w:val="auto"/>
          <w:sz w:val="28"/>
          <w:szCs w:val="28"/>
          <w:lang w:eastAsia="zh-CN"/>
        </w:rPr>
      </w:pP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5" name="图片 5" descr="Scan_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an_0027"/>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cs="宋体" w:eastAsiaTheme="minorEastAsia"/>
          <w:b/>
          <w:color w:val="auto"/>
          <w:sz w:val="28"/>
          <w:szCs w:val="28"/>
          <w:lang w:eastAsia="zh-CN"/>
        </w:rPr>
        <w:br w:type="page"/>
      </w: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3" name="图片 3" descr="Scan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an_0028"/>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35342046"/>
      <w:bookmarkStart w:id="5" w:name="_Toc91392962"/>
      <w:bookmarkStart w:id="6" w:name="_Toc123786890"/>
      <w:bookmarkStart w:id="7" w:name="_Toc50864444"/>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坦桑尼亚分公司塔波拉市政道路升级项目和姆比亚道路升级项目挖掘机、平地机采购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坦桑尼亚分公司塔波拉市政道路升级项目和姆比亚道路升级项目挖掘机、平地机采购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元</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坦桑尼亚分公司塔波拉市政道路升级项目和姆比亚道路升级项目挖掘机、平地机采购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089"/>
        <w:gridCol w:w="3026"/>
        <w:gridCol w:w="714"/>
        <w:gridCol w:w="757"/>
        <w:gridCol w:w="1114"/>
        <w:gridCol w:w="10"/>
        <w:gridCol w:w="1176"/>
        <w:gridCol w:w="1157"/>
        <w:gridCol w:w="6"/>
        <w:gridCol w:w="140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089"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02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71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75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868" w:type="dxa"/>
            <w:gridSpan w:val="6"/>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89"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02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5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30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568"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89"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026"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57"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14"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186"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7"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411"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2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08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挖掘机</w:t>
            </w:r>
          </w:p>
        </w:tc>
        <w:tc>
          <w:tcPr>
            <w:tcW w:w="302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发动机额定功率：≥150KW</w:t>
            </w:r>
          </w:p>
          <w:p>
            <w:pPr>
              <w:pStyle w:val="3"/>
              <w:pageBreakBefore w:val="0"/>
              <w:numPr>
                <w:ilvl w:val="0"/>
                <w:numId w:val="1"/>
              </w:numPr>
              <w:kinsoku/>
              <w:wordWrap/>
              <w:overflowPunct/>
              <w:topLinePunct w:val="0"/>
              <w:autoSpaceDE/>
              <w:autoSpaceDN/>
              <w:bidi w:val="0"/>
              <w:adjustRightInd/>
              <w:snapToGrid/>
              <w:spacing w:before="0" w:after="0" w:line="400" w:lineRule="exact"/>
              <w:ind w:left="0" w:leftChars="0" w:firstLine="0" w:firstLineChars="0"/>
              <w:rPr>
                <w:rFonts w:hint="eastAsia" w:ascii="微软雅黑" w:hAnsi="微软雅黑" w:eastAsia="微软雅黑" w:cs="微软雅黑"/>
                <w:b w:val="0"/>
                <w:bCs w:val="0"/>
                <w:i w:val="0"/>
                <w:iCs w:val="0"/>
                <w:color w:val="auto"/>
                <w:kern w:val="0"/>
                <w:sz w:val="20"/>
                <w:szCs w:val="20"/>
                <w:u w:val="none"/>
                <w:lang w:val="en-US" w:eastAsia="zh-CN" w:bidi="ar"/>
              </w:rPr>
            </w:pPr>
            <w:r>
              <w:rPr>
                <w:rFonts w:hint="eastAsia" w:ascii="微软雅黑" w:hAnsi="微软雅黑" w:eastAsia="微软雅黑" w:cs="微软雅黑"/>
                <w:b w:val="0"/>
                <w:bCs w:val="0"/>
                <w:i w:val="0"/>
                <w:iCs w:val="0"/>
                <w:color w:val="auto"/>
                <w:kern w:val="0"/>
                <w:sz w:val="20"/>
                <w:szCs w:val="20"/>
                <w:u w:val="none"/>
                <w:lang w:val="en-US" w:eastAsia="zh-CN" w:bidi="ar"/>
              </w:rPr>
              <w:t>斗容量：≥1.5方</w:t>
            </w:r>
          </w:p>
          <w:p>
            <w:pPr>
              <w:pageBreakBefore w:val="0"/>
              <w:numPr>
                <w:ilvl w:val="0"/>
                <w:numId w:val="1"/>
              </w:numPr>
              <w:kinsoku/>
              <w:wordWrap/>
              <w:overflowPunct/>
              <w:topLinePunct w:val="0"/>
              <w:autoSpaceDE/>
              <w:autoSpaceDN/>
              <w:bidi w:val="0"/>
              <w:adjustRightInd/>
              <w:snapToGrid/>
              <w:spacing w:line="400" w:lineRule="exact"/>
              <w:ind w:left="0" w:leftChars="0" w:firstLine="0" w:firstLineChars="0"/>
              <w:rPr>
                <w:rFonts w:hint="default"/>
                <w:color w:val="auto"/>
                <w:lang w:val="en-US" w:eastAsia="zh-CN"/>
              </w:rPr>
            </w:pPr>
            <w:r>
              <w:rPr>
                <w:rFonts w:hint="eastAsia"/>
                <w:color w:val="auto"/>
                <w:lang w:val="en-US" w:eastAsia="zh-CN"/>
              </w:rPr>
              <w:t>排放标准：符合国</w:t>
            </w:r>
            <w:r>
              <w:rPr>
                <w:rFonts w:ascii="Helvetica" w:hAnsi="Helvetica" w:eastAsia="Helvetica" w:cs="Helvetica"/>
                <w:i w:val="0"/>
                <w:iCs w:val="0"/>
                <w:caps w:val="0"/>
                <w:color w:val="auto"/>
                <w:spacing w:val="0"/>
                <w:sz w:val="21"/>
                <w:szCs w:val="21"/>
                <w:shd w:val="clear" w:fill="FFFFFF"/>
              </w:rPr>
              <w:t>Ⅱ</w:t>
            </w:r>
            <w:r>
              <w:rPr>
                <w:rFonts w:hint="eastAsia" w:ascii="Helvetica" w:hAnsi="Helvetica" w:eastAsia="宋体" w:cs="Helvetica"/>
                <w:i w:val="0"/>
                <w:iCs w:val="0"/>
                <w:caps w:val="0"/>
                <w:color w:val="auto"/>
                <w:spacing w:val="0"/>
                <w:sz w:val="21"/>
                <w:szCs w:val="21"/>
                <w:shd w:val="clear" w:fill="FFFFFF"/>
                <w:lang w:eastAsia="zh-CN"/>
              </w:rPr>
              <w:t>或国</w:t>
            </w:r>
            <w:r>
              <w:rPr>
                <w:rFonts w:hint="eastAsia" w:ascii="Helvetica" w:hAnsi="Helvetica" w:eastAsia="宋体" w:cs="Helvetica"/>
                <w:i w:val="0"/>
                <w:iCs w:val="0"/>
                <w:caps w:val="0"/>
                <w:color w:val="auto"/>
                <w:spacing w:val="0"/>
                <w:sz w:val="21"/>
                <w:szCs w:val="21"/>
                <w:shd w:val="clear" w:fill="FFFFFF"/>
                <w:lang w:val="en-US" w:eastAsia="zh-CN"/>
              </w:rPr>
              <w:t>III</w:t>
            </w:r>
            <w:r>
              <w:rPr>
                <w:rFonts w:ascii="Helvetica" w:hAnsi="Helvetica" w:eastAsia="Helvetica" w:cs="Helvetica"/>
                <w:i w:val="0"/>
                <w:iCs w:val="0"/>
                <w:caps w:val="0"/>
                <w:color w:val="auto"/>
                <w:spacing w:val="0"/>
                <w:sz w:val="21"/>
                <w:szCs w:val="21"/>
                <w:shd w:val="clear" w:fill="FFFFFF"/>
              </w:rPr>
              <w:t>排放标准</w:t>
            </w:r>
          </w:p>
        </w:tc>
        <w:tc>
          <w:tcPr>
            <w:tcW w:w="7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75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2</w:t>
            </w:r>
          </w:p>
        </w:tc>
        <w:tc>
          <w:tcPr>
            <w:tcW w:w="1114" w:type="dxa"/>
            <w:tcBorders>
              <w:top w:val="nil"/>
              <w:left w:val="single" w:color="000000" w:sz="8" w:space="0"/>
              <w:bottom w:val="single" w:color="000000" w:sz="8" w:space="0"/>
              <w:right w:val="single" w:color="auto" w:sz="4" w:space="0"/>
            </w:tcBorders>
            <w:shd w:val="clear" w:color="auto" w:fill="auto"/>
            <w:vAlign w:val="center"/>
          </w:tcPr>
          <w:p>
            <w:pPr>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210，000</w:t>
            </w:r>
          </w:p>
        </w:tc>
        <w:tc>
          <w:tcPr>
            <w:tcW w:w="1186" w:type="dxa"/>
            <w:gridSpan w:val="2"/>
            <w:tcBorders>
              <w:top w:val="nil"/>
              <w:left w:val="single" w:color="auto" w:sz="4"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420,000</w:t>
            </w:r>
          </w:p>
        </w:tc>
        <w:tc>
          <w:tcPr>
            <w:tcW w:w="1157" w:type="dxa"/>
            <w:tcBorders>
              <w:top w:val="nil"/>
              <w:left w:val="nil"/>
              <w:bottom w:val="single" w:color="000000" w:sz="8" w:space="0"/>
              <w:right w:val="single" w:color="auto" w:sz="4" w:space="0"/>
            </w:tcBorders>
            <w:shd w:val="clear" w:color="auto" w:fill="auto"/>
            <w:vAlign w:val="center"/>
          </w:tcPr>
          <w:p>
            <w:pPr>
              <w:jc w:val="center"/>
              <w:rPr>
                <w:rFonts w:hint="default" w:ascii="Arial" w:hAnsi="Arial" w:eastAsia="宋体" w:cs="Arial"/>
                <w:i w:val="0"/>
                <w:iCs w:val="0"/>
                <w:color w:val="auto"/>
                <w:sz w:val="20"/>
                <w:szCs w:val="20"/>
                <w:u w:val="none"/>
              </w:rPr>
            </w:pPr>
          </w:p>
        </w:tc>
        <w:tc>
          <w:tcPr>
            <w:tcW w:w="1411" w:type="dxa"/>
            <w:gridSpan w:val="2"/>
            <w:tcBorders>
              <w:top w:val="nil"/>
              <w:left w:val="single" w:color="auto" w:sz="4"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auto"/>
                <w:sz w:val="20"/>
                <w:szCs w:val="20"/>
                <w:u w:val="none"/>
              </w:rPr>
            </w:pPr>
          </w:p>
        </w:tc>
        <w:tc>
          <w:tcPr>
            <w:tcW w:w="1744"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平地机</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numPr>
                <w:ilvl w:val="0"/>
                <w:numId w:val="0"/>
              </w:numPr>
              <w:kinsoku/>
              <w:wordWrap/>
              <w:overflowPunct/>
              <w:topLinePunct w:val="0"/>
              <w:autoSpaceDE/>
              <w:autoSpaceDN/>
              <w:bidi w:val="0"/>
              <w:adjustRightInd/>
              <w:snapToGrid/>
              <w:spacing w:line="400" w:lineRule="exact"/>
              <w:ind w:leftChars="0"/>
              <w:rPr>
                <w:rFonts w:hint="eastAsia"/>
                <w:color w:val="auto"/>
                <w:lang w:val="en-US" w:eastAsia="zh-CN"/>
              </w:rPr>
            </w:pPr>
            <w:r>
              <w:rPr>
                <w:rFonts w:hint="eastAsia"/>
                <w:color w:val="auto"/>
                <w:lang w:val="en-US" w:eastAsia="zh-CN"/>
              </w:rPr>
              <w:t>1、发动机额定功率：≥160K</w:t>
            </w:r>
          </w:p>
          <w:p>
            <w:pPr>
              <w:pageBreakBefore w:val="0"/>
              <w:numPr>
                <w:ilvl w:val="0"/>
                <w:numId w:val="0"/>
              </w:numPr>
              <w:kinsoku/>
              <w:wordWrap/>
              <w:overflowPunct/>
              <w:topLinePunct w:val="0"/>
              <w:autoSpaceDE/>
              <w:autoSpaceDN/>
              <w:bidi w:val="0"/>
              <w:adjustRightInd/>
              <w:snapToGrid/>
              <w:spacing w:line="400" w:lineRule="exact"/>
              <w:ind w:leftChars="0"/>
              <w:rPr>
                <w:rFonts w:hint="eastAsia"/>
                <w:color w:val="auto"/>
                <w:lang w:val="en-US" w:eastAsia="zh-CN"/>
              </w:rPr>
            </w:pPr>
            <w:r>
              <w:rPr>
                <w:rFonts w:hint="eastAsia"/>
                <w:color w:val="auto"/>
                <w:lang w:val="en-US" w:eastAsia="zh-CN"/>
              </w:rPr>
              <w:t>2、最大牵引力：≥900NM</w:t>
            </w:r>
          </w:p>
          <w:p>
            <w:pPr>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i w:val="0"/>
                <w:iCs w:val="0"/>
                <w:color w:val="auto"/>
                <w:kern w:val="0"/>
                <w:sz w:val="20"/>
                <w:szCs w:val="20"/>
                <w:u w:val="none"/>
                <w:lang w:val="en-US" w:eastAsia="zh-CN" w:bidi="ar"/>
              </w:rPr>
            </w:pPr>
            <w:r>
              <w:rPr>
                <w:rFonts w:hint="eastAsia"/>
                <w:color w:val="auto"/>
                <w:lang w:val="en-US" w:eastAsia="zh-CN"/>
              </w:rPr>
              <w:t>3、排放标准：符合国Ⅱ或国III排放标准。</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12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165,000</w:t>
            </w:r>
          </w:p>
        </w:tc>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165,000</w:t>
            </w:r>
          </w:p>
        </w:tc>
        <w:tc>
          <w:tcPr>
            <w:tcW w:w="116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40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744" w:type="dxa"/>
            <w:vMerge w:val="continue"/>
            <w:tcBorders>
              <w:left w:val="single" w:color="000000" w:sz="8"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585,000</w:t>
            </w: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坦桑尼亚分公司塔波拉市政道路升级项目和姆比亚道路升级项目挖掘机、平地机采购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panose1 w:val="020B06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8A963"/>
    <w:multiLevelType w:val="singleLevel"/>
    <w:tmpl w:val="A1B8A9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3E50E63"/>
    <w:rsid w:val="0422003D"/>
    <w:rsid w:val="04435645"/>
    <w:rsid w:val="04D87199"/>
    <w:rsid w:val="058C28EB"/>
    <w:rsid w:val="06072DC9"/>
    <w:rsid w:val="06DE4E9C"/>
    <w:rsid w:val="07C577DF"/>
    <w:rsid w:val="0888682C"/>
    <w:rsid w:val="0B594D69"/>
    <w:rsid w:val="0D4E40CA"/>
    <w:rsid w:val="0E855EB9"/>
    <w:rsid w:val="0F1611BF"/>
    <w:rsid w:val="123E1008"/>
    <w:rsid w:val="125C0ECF"/>
    <w:rsid w:val="146148C0"/>
    <w:rsid w:val="1542197B"/>
    <w:rsid w:val="191A481D"/>
    <w:rsid w:val="19C30622"/>
    <w:rsid w:val="1A317604"/>
    <w:rsid w:val="1BBA61B5"/>
    <w:rsid w:val="1C46394C"/>
    <w:rsid w:val="204847FF"/>
    <w:rsid w:val="20C213DD"/>
    <w:rsid w:val="21283BC5"/>
    <w:rsid w:val="24241DCB"/>
    <w:rsid w:val="25F25DEC"/>
    <w:rsid w:val="27A43B73"/>
    <w:rsid w:val="28A70638"/>
    <w:rsid w:val="290A4130"/>
    <w:rsid w:val="2A6B592D"/>
    <w:rsid w:val="2B2662B7"/>
    <w:rsid w:val="2DD331DB"/>
    <w:rsid w:val="30B33A08"/>
    <w:rsid w:val="31394A62"/>
    <w:rsid w:val="32AC094E"/>
    <w:rsid w:val="335A1FE3"/>
    <w:rsid w:val="33DE3588"/>
    <w:rsid w:val="357A7F6F"/>
    <w:rsid w:val="361F1CFE"/>
    <w:rsid w:val="3706421C"/>
    <w:rsid w:val="37074372"/>
    <w:rsid w:val="39001ED6"/>
    <w:rsid w:val="3B7E109A"/>
    <w:rsid w:val="3BA02C0F"/>
    <w:rsid w:val="3FCE63A8"/>
    <w:rsid w:val="3FDF29BB"/>
    <w:rsid w:val="401C6BA0"/>
    <w:rsid w:val="412413C5"/>
    <w:rsid w:val="415154E2"/>
    <w:rsid w:val="41DF1DAB"/>
    <w:rsid w:val="425B62EF"/>
    <w:rsid w:val="43246B24"/>
    <w:rsid w:val="4376767A"/>
    <w:rsid w:val="44B21351"/>
    <w:rsid w:val="44C17F3A"/>
    <w:rsid w:val="46B93336"/>
    <w:rsid w:val="47935A3B"/>
    <w:rsid w:val="4981020E"/>
    <w:rsid w:val="4ADD57DB"/>
    <w:rsid w:val="4C063219"/>
    <w:rsid w:val="4D99566D"/>
    <w:rsid w:val="50D25461"/>
    <w:rsid w:val="52581843"/>
    <w:rsid w:val="536A10A2"/>
    <w:rsid w:val="553B6A06"/>
    <w:rsid w:val="55571485"/>
    <w:rsid w:val="5594600A"/>
    <w:rsid w:val="5A7E7705"/>
    <w:rsid w:val="5B0121AC"/>
    <w:rsid w:val="5B8A0A45"/>
    <w:rsid w:val="5D703128"/>
    <w:rsid w:val="5E7340E1"/>
    <w:rsid w:val="61F77E83"/>
    <w:rsid w:val="62706C3A"/>
    <w:rsid w:val="628A75A8"/>
    <w:rsid w:val="63293D3B"/>
    <w:rsid w:val="64B760DF"/>
    <w:rsid w:val="657918E5"/>
    <w:rsid w:val="65E55D01"/>
    <w:rsid w:val="672655FA"/>
    <w:rsid w:val="6780684F"/>
    <w:rsid w:val="6F1F5272"/>
    <w:rsid w:val="6FF06A42"/>
    <w:rsid w:val="722574C1"/>
    <w:rsid w:val="733B49ED"/>
    <w:rsid w:val="748A0073"/>
    <w:rsid w:val="76022E66"/>
    <w:rsid w:val="78300507"/>
    <w:rsid w:val="7A7E0C5F"/>
    <w:rsid w:val="7AE67BFA"/>
    <w:rsid w:val="7BE652B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6578</Words>
  <Characters>7130</Characters>
  <Lines>215</Lines>
  <Paragraphs>60</Paragraphs>
  <TotalTime>5</TotalTime>
  <ScaleCrop>false</ScaleCrop>
  <LinksUpToDate>false</LinksUpToDate>
  <CharactersWithSpaces>7783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2024-03-28T07:07:35Z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E7ECBF5E02F54642920735FA2808BA99_13</vt:lpwstr>
  </property>
</Properties>
</file>