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自卸车、水车采购</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w:t>
      </w:r>
      <w:r>
        <w:rPr>
          <w:rFonts w:hint="eastAsia" w:ascii="宋体" w:hAnsi="宋体" w:cs="宋体"/>
          <w:color w:val="0000FF"/>
          <w:sz w:val="28"/>
          <w:lang w:val="en-US" w:eastAsia="zh-CN"/>
        </w:rPr>
        <w:t>007</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埃塞俄比亚分公司LOT1-86.1KM项目自卸车、水车采购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2024年4月25日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2024年4月25日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ind w:right="-358"/>
              <w:textAlignment w:val="auto"/>
              <w:rPr>
                <w:rFonts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tabs>
                <w:tab w:val="left" w:pos="1180"/>
              </w:tabs>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招标材料/设备</w:t>
            </w:r>
          </w:p>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洒水车2辆,发动机马力≥400匹，水罐容积≥20方。</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eastAsia="宋体"/>
                <w:color w:val="auto"/>
                <w:lang w:val="en-US" w:eastAsia="zh-CN"/>
              </w:rPr>
            </w:pPr>
            <w:r>
              <w:rPr>
                <w:rFonts w:hint="eastAsia" w:ascii="宋体" w:hAnsi="宋体" w:cs="宋体"/>
                <w:color w:val="auto"/>
                <w:szCs w:val="21"/>
                <w:lang w:val="en-US" w:eastAsia="zh-CN"/>
              </w:rPr>
              <w:t>自卸车28</w:t>
            </w:r>
            <w:bookmarkStart w:id="9" w:name="_GoBack"/>
            <w:bookmarkEnd w:id="9"/>
            <w:r>
              <w:rPr>
                <w:rFonts w:hint="eastAsia" w:ascii="宋体" w:hAnsi="宋体" w:cs="宋体"/>
                <w:color w:val="auto"/>
                <w:szCs w:val="21"/>
                <w:lang w:val="en-US" w:eastAsia="zh-CN"/>
              </w:rPr>
              <w:t>辆，发动机马力≥340匹，载重方量≥19.87方。</w:t>
            </w:r>
            <w:r>
              <w:rPr>
                <w:rFonts w:hint="eastAsia" w:ascii="宋体" w:hAnsi="宋体" w:cs="宋体"/>
                <w:color w:val="auto"/>
                <w:szCs w:val="21"/>
                <w:highlight w:val="yellow"/>
                <w:lang w:val="en-US" w:eastAsia="zh-CN"/>
              </w:rPr>
              <w:t>货箱厚度：底板≥8mm 边板≥6mm</w:t>
            </w:r>
            <w:r>
              <w:rPr>
                <w:rFonts w:hint="eastAsia" w:ascii="宋体" w:hAnsi="宋体" w:cs="宋体"/>
                <w:color w:val="auto"/>
                <w:szCs w:val="21"/>
                <w:lang w:val="en-US" w:eastAsia="zh-CN"/>
              </w:rPr>
              <w:t>排放标准符合国II或国III排放标准。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3.投标人自2021年1月1日起至投标截止日止（以合同签订时间为准）在中国境内具有至少1个与本次招标货物类同的合同业绩（且单个合同总金额不低于140万美元或1000万人民币）。</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5.投标人营业执照经营范围应包含工程施工车辆生产或销售相关经营范围。</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最高限价（</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总限价：1,388,000美元（报价为CIF吉布提到港价）</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cs="宋体" w:eastAsiaTheme="minorEastAsia"/>
                <w:color w:val="auto"/>
                <w:szCs w:val="21"/>
                <w:lang w:eastAsia="zh-CN"/>
              </w:rPr>
            </w:pPr>
            <w:r>
              <w:rPr>
                <w:rFonts w:hint="eastAsia"/>
                <w:color w:val="auto"/>
                <w:lang w:val="en-US" w:eastAsia="zh-CN"/>
              </w:rPr>
              <w:t>其中洒水车50,000美元/辆、自卸车46,000美元/辆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0000FF"/>
                <w:lang w:val="en-US" w:eastAsia="zh-CN"/>
              </w:rPr>
              <w:t>194</w:t>
            </w:r>
            <w:r>
              <w:rPr>
                <w:rFonts w:hint="eastAsia"/>
                <w:color w:val="0000FF"/>
              </w:rPr>
              <w:t>,000.00元人民币或</w:t>
            </w:r>
            <w:r>
              <w:rPr>
                <w:rFonts w:hint="eastAsia"/>
                <w:color w:val="0000FF"/>
                <w:lang w:val="en-US" w:eastAsia="zh-CN"/>
              </w:rPr>
              <w:t>27,700</w:t>
            </w:r>
            <w:r>
              <w:rPr>
                <w:rFonts w:hint="eastAsia"/>
                <w:color w:val="0000FF"/>
              </w:rPr>
              <w:t>美元。</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w:t>
            </w:r>
            <w:r>
              <w:rPr>
                <w:rFonts w:hint="eastAsia"/>
                <w:color w:val="auto"/>
                <w:lang w:val="en-US" w:eastAsia="zh-CN"/>
              </w:rPr>
              <w:t>6</w:t>
            </w:r>
            <w:r>
              <w:rPr>
                <w:rFonts w:hint="eastAsia"/>
                <w:color w:val="auto"/>
              </w:rPr>
              <w:t>0日内。</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账户名：重庆对外建设（集团）有限公司</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开户行：重庆农村商业银行两江分行</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  号：5101010120010001423</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pacing w:line="320" w:lineRule="exact"/>
              <w:ind w:left="13" w:leftChars="6"/>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2" w:lineRule="atLeas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kinsoku/>
              <w:wordWrap/>
              <w:overflowPunct/>
              <w:topLinePunct w:val="0"/>
              <w:autoSpaceDE/>
              <w:autoSpaceDN/>
              <w:bidi w:val="0"/>
              <w:adjustRightInd/>
              <w:snapToGrid/>
              <w:spacing w:line="12" w:lineRule="atLeas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0天内到达吉布提港，设备到港通知提货后10个工作日内支付合同金额的40%。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25</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28</w:t>
            </w:r>
            <w:r>
              <w:rPr>
                <w:rFonts w:hint="eastAsia" w:cs="Times New Roman" w:asciiTheme="minorEastAsia" w:hAnsiTheme="minorEastAsia"/>
                <w:color w:val="0000FF"/>
                <w:szCs w:val="21"/>
              </w:rPr>
              <w:t>日</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29</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29</w:t>
            </w:r>
            <w:r>
              <w:rPr>
                <w:rFonts w:hint="eastAsia" w:ascii="宋体" w:hAnsi="宋体" w:eastAsia="宋体" w:cs="宋体"/>
                <w:color w:val="0000FF"/>
                <w:szCs w:val="21"/>
              </w:rPr>
              <w:t>日</w:t>
            </w:r>
            <w:r>
              <w:rPr>
                <w:rFonts w:hint="eastAsia" w:ascii="宋体" w:hAnsi="宋体" w:eastAsia="宋体" w:cs="宋体"/>
                <w:color w:val="0000FF"/>
                <w:szCs w:val="21"/>
                <w:u w:val="single"/>
              </w:rPr>
              <w:t>15</w:t>
            </w:r>
            <w:r>
              <w:rPr>
                <w:rFonts w:hint="eastAsia" w:ascii="宋体" w:hAnsi="宋体" w:eastAsia="宋体" w:cs="宋体"/>
                <w:color w:val="0000FF"/>
                <w:szCs w:val="21"/>
              </w:rPr>
              <w:t>时</w:t>
            </w:r>
            <w:r>
              <w:rPr>
                <w:rFonts w:hint="eastAsia" w:ascii="宋体" w:hAnsi="宋体" w:eastAsia="宋体" w:cs="宋体"/>
                <w:color w:val="0000FF"/>
                <w:szCs w:val="21"/>
                <w:u w:val="single"/>
              </w:rPr>
              <w:t>00</w:t>
            </w:r>
            <w:r>
              <w:rPr>
                <w:rFonts w:hint="eastAsia" w:ascii="宋体" w:hAnsi="宋体" w:eastAsia="宋体" w:cs="宋体"/>
                <w:color w:val="0000FF"/>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一、投标文件资料</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（一）资格证明文件：</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140万美元或1000万人民币）。合同相关页复印件（包含但不限于合同有效页复印件、合同签订各方名称、项目名称、合同签订时间等），业绩证明须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1"/>
                <w:lang w:val="en-US" w:eastAsia="zh-CN" w:bidi="ar-SA"/>
              </w:rPr>
              <w:t>由于本项目合同签订和设备款项支付的单位为招标人</w:t>
            </w:r>
            <w:r>
              <w:rPr>
                <w:rFonts w:hint="eastAsia" w:cstheme="minorBidi"/>
                <w:b w:val="0"/>
                <w:bCs w:val="0"/>
                <w:color w:val="auto"/>
                <w:kern w:val="2"/>
                <w:sz w:val="21"/>
                <w:szCs w:val="21"/>
                <w:lang w:val="en-US" w:eastAsia="zh-CN" w:bidi="ar-SA"/>
              </w:rPr>
              <w:t>埃塞俄比亚分公司</w:t>
            </w:r>
            <w:r>
              <w:rPr>
                <w:rFonts w:hint="eastAsia" w:asciiTheme="minorHAnsi" w:hAnsiTheme="minorHAnsi" w:eastAsiaTheme="minorEastAsia" w:cstheme="minorBidi"/>
                <w:b w:val="0"/>
                <w:bCs w:val="0"/>
                <w:color w:val="auto"/>
                <w:kern w:val="2"/>
                <w:sz w:val="21"/>
                <w:szCs w:val="21"/>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r>
              <w:rPr>
                <w:rFonts w:hint="eastAsia" w:ascii="宋体" w:hAnsi="宋体" w:cs="宋体"/>
                <w:color w:val="auto"/>
              </w:rPr>
              <w:t>符</w:t>
            </w:r>
          </w:p>
          <w:p>
            <w:pPr>
              <w:rPr>
                <w:rFonts w:ascii="宋体" w:hAnsi="宋体" w:cs="宋体"/>
                <w:color w:val="auto"/>
              </w:rPr>
            </w:pPr>
            <w:r>
              <w:rPr>
                <w:rFonts w:hint="eastAsia" w:ascii="宋体" w:hAnsi="宋体" w:cs="宋体"/>
                <w:color w:val="auto"/>
              </w:rPr>
              <w:t>合</w:t>
            </w:r>
          </w:p>
          <w:p>
            <w:pPr>
              <w:rPr>
                <w:rFonts w:ascii="宋体" w:hAnsi="宋体" w:cs="宋体"/>
                <w:color w:val="auto"/>
              </w:rPr>
            </w:pPr>
            <w:r>
              <w:rPr>
                <w:rFonts w:hint="eastAsia" w:ascii="宋体" w:hAnsi="宋体" w:cs="宋体"/>
                <w:color w:val="auto"/>
              </w:rPr>
              <w:t>性</w:t>
            </w:r>
          </w:p>
          <w:p>
            <w:pPr>
              <w:rPr>
                <w:rFonts w:ascii="宋体" w:hAnsi="宋体" w:cs="宋体"/>
                <w:color w:val="auto"/>
              </w:rPr>
            </w:pPr>
            <w:r>
              <w:rPr>
                <w:rFonts w:hint="eastAsia" w:ascii="宋体" w:hAnsi="宋体" w:cs="宋体"/>
                <w:color w:val="auto"/>
              </w:rPr>
              <w:t>评</w:t>
            </w:r>
          </w:p>
          <w:p>
            <w:pPr>
              <w:rPr>
                <w:rFonts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rPr>
            </w:pPr>
            <w:r>
              <w:rPr>
                <w:rFonts w:hint="eastAsia" w:ascii="宋体" w:hAnsi="宋体" w:cs="宋体"/>
                <w:color w:val="auto"/>
              </w:rPr>
              <w:t>投标材料/设备</w:t>
            </w:r>
          </w:p>
          <w:p>
            <w:pPr>
              <w:jc w:val="center"/>
              <w:rPr>
                <w:rFonts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报价</w:t>
            </w:r>
          </w:p>
          <w:p>
            <w:pPr>
              <w:rPr>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评审</w:t>
            </w:r>
          </w:p>
          <w:p>
            <w:pPr>
              <w:rPr>
                <w:rFonts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123786823"/>
      <w:bookmarkStart w:id="1" w:name="_Toc71877702"/>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23257"/>
      <w:bookmarkEnd w:id="2"/>
      <w:bookmarkStart w:id="3" w:name="_Hlt42935964"/>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br w:type="page"/>
      </w:r>
      <w:bookmarkStart w:id="4" w:name="_Toc35342046"/>
      <w:bookmarkStart w:id="5" w:name="_Toc123786890"/>
      <w:bookmarkStart w:id="6" w:name="_Toc91392962"/>
      <w:bookmarkStart w:id="7" w:name="_Toc50864444"/>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自卸车、水车采购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埃塞俄比亚分公司LOT1-86.1KM项目自卸车、水车采购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埃塞俄比亚分公司LOT1-86.1KM项目自卸车、水车采购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2"/>
        <w:gridCol w:w="3168"/>
        <w:gridCol w:w="684"/>
        <w:gridCol w:w="636"/>
        <w:gridCol w:w="1140"/>
        <w:gridCol w:w="1212"/>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522"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168"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684"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752"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522"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168"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84"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36"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35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522" w:type="dxa"/>
            <w:vMerge w:val="continue"/>
            <w:tcBorders>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168"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84"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36"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1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洒水车</w:t>
            </w:r>
          </w:p>
        </w:tc>
        <w:tc>
          <w:tcPr>
            <w:tcW w:w="3168" w:type="dxa"/>
            <w:tcBorders>
              <w:top w:val="nil"/>
              <w:left w:val="nil"/>
              <w:bottom w:val="single" w:color="000000" w:sz="8" w:space="0"/>
              <w:right w:val="single" w:color="000000" w:sz="8"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ascii="宋体" w:hAnsi="宋体" w:cs="宋体"/>
                <w:color w:val="auto"/>
                <w:szCs w:val="21"/>
                <w:lang w:val="en-US" w:eastAsia="zh-CN"/>
              </w:rPr>
              <w:t>发动机马力≥400匹，水罐容积≥20方。排放标准符合国II或国III排放标准。</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辆</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2</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50,000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436"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自卸车</w:t>
            </w:r>
          </w:p>
        </w:tc>
        <w:tc>
          <w:tcPr>
            <w:tcW w:w="3168" w:type="dxa"/>
            <w:tcBorders>
              <w:top w:val="nil"/>
              <w:left w:val="nil"/>
              <w:bottom w:val="single" w:color="000000" w:sz="8" w:space="0"/>
              <w:right w:val="single" w:color="000000" w:sz="8"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center"/>
              <w:rPr>
                <w:rFonts w:hint="eastAsia"/>
                <w:color w:val="auto"/>
                <w:lang w:val="en-US" w:eastAsia="zh-CN"/>
              </w:rPr>
            </w:pPr>
            <w:r>
              <w:rPr>
                <w:rFonts w:hint="eastAsia" w:ascii="宋体" w:hAnsi="宋体" w:cs="宋体"/>
                <w:color w:val="auto"/>
                <w:szCs w:val="21"/>
                <w:lang w:val="en-US" w:eastAsia="zh-CN"/>
              </w:rPr>
              <w:t>发动机马力≥340匹，载重方量≥19.87方,货箱厚度：底板≥8mm 边板≥6mm。排放标准符合国II或国III排放标准。</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辆</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28</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46,000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1,288,000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3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自卸车、水车采购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28C41BB"/>
    <w:rsid w:val="03460F86"/>
    <w:rsid w:val="0422003D"/>
    <w:rsid w:val="04435645"/>
    <w:rsid w:val="04D87199"/>
    <w:rsid w:val="058C28EB"/>
    <w:rsid w:val="06072DC9"/>
    <w:rsid w:val="06DE4E9C"/>
    <w:rsid w:val="07C577DF"/>
    <w:rsid w:val="0888682C"/>
    <w:rsid w:val="0B594D69"/>
    <w:rsid w:val="0C5B7946"/>
    <w:rsid w:val="0D4E40CA"/>
    <w:rsid w:val="0E855EB9"/>
    <w:rsid w:val="101C55F7"/>
    <w:rsid w:val="123E1008"/>
    <w:rsid w:val="1289431C"/>
    <w:rsid w:val="142F2651"/>
    <w:rsid w:val="146148C0"/>
    <w:rsid w:val="16545D5E"/>
    <w:rsid w:val="191A481D"/>
    <w:rsid w:val="19B944DB"/>
    <w:rsid w:val="19C30622"/>
    <w:rsid w:val="1A317604"/>
    <w:rsid w:val="1BBA61B5"/>
    <w:rsid w:val="1C46394C"/>
    <w:rsid w:val="1C8B27CB"/>
    <w:rsid w:val="1E2F4B2A"/>
    <w:rsid w:val="204847FF"/>
    <w:rsid w:val="20C213DD"/>
    <w:rsid w:val="221F2E96"/>
    <w:rsid w:val="24241DCB"/>
    <w:rsid w:val="25F25DEC"/>
    <w:rsid w:val="27A43B73"/>
    <w:rsid w:val="27B63E38"/>
    <w:rsid w:val="28A70638"/>
    <w:rsid w:val="290A4130"/>
    <w:rsid w:val="29367196"/>
    <w:rsid w:val="2A152CD8"/>
    <w:rsid w:val="2A6B592D"/>
    <w:rsid w:val="2B2662B7"/>
    <w:rsid w:val="2B692DE3"/>
    <w:rsid w:val="2B965F4E"/>
    <w:rsid w:val="2FB92C1E"/>
    <w:rsid w:val="32AC094E"/>
    <w:rsid w:val="332D7EC4"/>
    <w:rsid w:val="335A1FE3"/>
    <w:rsid w:val="33DE3588"/>
    <w:rsid w:val="357A7F6F"/>
    <w:rsid w:val="361F1CFE"/>
    <w:rsid w:val="3706421C"/>
    <w:rsid w:val="37074372"/>
    <w:rsid w:val="38CC0EE9"/>
    <w:rsid w:val="39001ED6"/>
    <w:rsid w:val="3B7E109A"/>
    <w:rsid w:val="3BA02C0F"/>
    <w:rsid w:val="3C5A78D6"/>
    <w:rsid w:val="3FCE63A8"/>
    <w:rsid w:val="3FDF29BB"/>
    <w:rsid w:val="401C6BA0"/>
    <w:rsid w:val="412413C5"/>
    <w:rsid w:val="425B62EF"/>
    <w:rsid w:val="42F47B3D"/>
    <w:rsid w:val="43246B24"/>
    <w:rsid w:val="4376767A"/>
    <w:rsid w:val="44C17F3A"/>
    <w:rsid w:val="44C35346"/>
    <w:rsid w:val="46B93336"/>
    <w:rsid w:val="47935A3B"/>
    <w:rsid w:val="4981020E"/>
    <w:rsid w:val="4A0E4430"/>
    <w:rsid w:val="4B452A5F"/>
    <w:rsid w:val="4BD95DE6"/>
    <w:rsid w:val="4BEB6533"/>
    <w:rsid w:val="4C063219"/>
    <w:rsid w:val="4D99566D"/>
    <w:rsid w:val="50D25461"/>
    <w:rsid w:val="52581843"/>
    <w:rsid w:val="536A10A2"/>
    <w:rsid w:val="553B6A06"/>
    <w:rsid w:val="55571485"/>
    <w:rsid w:val="568F5D87"/>
    <w:rsid w:val="57167B8A"/>
    <w:rsid w:val="57BF1C1C"/>
    <w:rsid w:val="59466789"/>
    <w:rsid w:val="5B0121AC"/>
    <w:rsid w:val="5BB46942"/>
    <w:rsid w:val="5D703128"/>
    <w:rsid w:val="5D8F6959"/>
    <w:rsid w:val="5E7340E1"/>
    <w:rsid w:val="5FE4448E"/>
    <w:rsid w:val="60C244C1"/>
    <w:rsid w:val="61F77E83"/>
    <w:rsid w:val="62706C3A"/>
    <w:rsid w:val="62985C99"/>
    <w:rsid w:val="64562AA8"/>
    <w:rsid w:val="64B760DF"/>
    <w:rsid w:val="657918E5"/>
    <w:rsid w:val="65E55D01"/>
    <w:rsid w:val="670C5884"/>
    <w:rsid w:val="672655FA"/>
    <w:rsid w:val="6780684F"/>
    <w:rsid w:val="69356DD6"/>
    <w:rsid w:val="69E20B1E"/>
    <w:rsid w:val="6D4F64CA"/>
    <w:rsid w:val="6E852136"/>
    <w:rsid w:val="6F1F5272"/>
    <w:rsid w:val="6FF06A42"/>
    <w:rsid w:val="71B36515"/>
    <w:rsid w:val="71D33C48"/>
    <w:rsid w:val="722574C1"/>
    <w:rsid w:val="748A0073"/>
    <w:rsid w:val="76022E66"/>
    <w:rsid w:val="761B1CDD"/>
    <w:rsid w:val="78300507"/>
    <w:rsid w:val="7A7E0C5F"/>
    <w:rsid w:val="7AE67BFA"/>
    <w:rsid w:val="7BE652BA"/>
    <w:rsid w:val="7D764FDF"/>
    <w:rsid w:val="7ECE61D4"/>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8122</Words>
  <Characters>8797</Characters>
  <Lines>215</Lines>
  <Paragraphs>60</Paragraphs>
  <TotalTime>66</TotalTime>
  <ScaleCrop>false</ScaleCrop>
  <LinksUpToDate>false</LinksUpToDate>
  <CharactersWithSpaces>9639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2024-04-12T09:34:00Z</cp:lastPrinted>
  <dcterms:modified xsi:type="dcterms:W3CDTF">2024-04-26T07:01:08Z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