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default" w:ascii="黑体" w:hAnsi="宋体" w:eastAsia="黑体" w:cs="黑体"/>
          <w:color w:val="auto"/>
          <w:sz w:val="96"/>
          <w:szCs w:val="96"/>
          <w:lang w:val="en-US"/>
        </w:rPr>
      </w:pPr>
      <w:r>
        <w:rPr>
          <w:rFonts w:hint="eastAsia" w:ascii="黑体" w:hAnsi="宋体" w:eastAsia="黑体"/>
          <w:b/>
          <w:color w:val="auto"/>
          <w:sz w:val="44"/>
          <w:szCs w:val="44"/>
          <w:lang w:val="en-US" w:eastAsia="zh-CN"/>
        </w:rPr>
        <w:t>埃塞俄比亚分公司LOT1-86.1KM项目挖掘机、破碎锤采购（第二次）</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2024-04-009</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05</w:t>
      </w:r>
      <w:r>
        <w:rPr>
          <w:rFonts w:hint="eastAsia" w:ascii="宋体" w:hAnsi="宋体" w:cs="宋体"/>
          <w:color w:val="auto"/>
          <w:sz w:val="28"/>
          <w:szCs w:val="28"/>
        </w:rPr>
        <w:t>月</w:t>
      </w:r>
      <w:r>
        <w:rPr>
          <w:rFonts w:hint="eastAsia" w:ascii="宋体" w:hAnsi="宋体" w:cs="宋体"/>
          <w:color w:val="auto"/>
          <w:sz w:val="28"/>
          <w:szCs w:val="28"/>
          <w:lang w:val="en-US" w:eastAsia="zh-CN"/>
        </w:rPr>
        <w:t>06</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埃塞俄比亚分公司LOT1-86.1KM项目挖掘机、破碎锤采购（第二次）</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埃塞俄比亚分公司LOT1-86.1KM项目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90天内到达吉布提港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2024年5月6日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2024年5月6日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ind w:right="-358"/>
              <w:textAlignment w:val="auto"/>
              <w:rPr>
                <w:rFonts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tabs>
                <w:tab w:val="left" w:pos="1180"/>
              </w:tabs>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olor w:val="auto"/>
                <w:lang w:val="en-US" w:eastAsia="zh-CN"/>
              </w:rPr>
              <w:t>埃塞俄比亚分公司LOT1-86.1KM项目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招标材料/设备</w:t>
            </w:r>
          </w:p>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履带式挖掘机2台,工作质量≥30000kg，斗容量≥1.6m³，发动机</w:t>
            </w:r>
            <w:r>
              <w:rPr>
                <w:rFonts w:hint="eastAsia" w:cs="宋体" w:asciiTheme="minorEastAsia" w:hAnsiTheme="minorEastAsia" w:eastAsiaTheme="minorEastAsia"/>
                <w:kern w:val="0"/>
                <w:sz w:val="22"/>
                <w:szCs w:val="22"/>
              </w:rPr>
              <w:t>额定功率</w:t>
            </w:r>
            <w:r>
              <w:rPr>
                <w:rFonts w:hint="eastAsia" w:ascii="宋体" w:hAnsi="宋体" w:cs="宋体"/>
                <w:color w:val="auto"/>
                <w:szCs w:val="21"/>
                <w:lang w:val="en-US" w:eastAsia="zh-CN"/>
              </w:rPr>
              <w:t>≥</w:t>
            </w:r>
            <w:r>
              <w:rPr>
                <w:rFonts w:hint="eastAsia" w:cs="宋体" w:asciiTheme="minorEastAsia" w:hAnsiTheme="minorEastAsia"/>
                <w:kern w:val="0"/>
                <w:sz w:val="22"/>
                <w:szCs w:val="22"/>
                <w:lang w:val="en-US" w:eastAsia="zh-CN"/>
              </w:rPr>
              <w:t>190KW</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轮胎挖掘机1台，工作质量≥13500kg，斗容量≥0.65m³，发动机</w:t>
            </w:r>
            <w:r>
              <w:rPr>
                <w:rFonts w:hint="eastAsia" w:cs="宋体" w:asciiTheme="minorEastAsia" w:hAnsiTheme="minorEastAsia" w:eastAsiaTheme="minorEastAsia"/>
                <w:kern w:val="0"/>
                <w:sz w:val="22"/>
                <w:szCs w:val="22"/>
              </w:rPr>
              <w:t>额定功率</w:t>
            </w:r>
            <w:r>
              <w:rPr>
                <w:rFonts w:hint="eastAsia" w:ascii="宋体" w:hAnsi="宋体" w:cs="宋体"/>
                <w:color w:val="auto"/>
                <w:szCs w:val="21"/>
                <w:lang w:val="en-US" w:eastAsia="zh-CN"/>
              </w:rPr>
              <w:t>≥</w:t>
            </w:r>
            <w:r>
              <w:rPr>
                <w:rFonts w:hint="eastAsia" w:cs="宋体" w:asciiTheme="minorEastAsia" w:hAnsiTheme="minorEastAsia"/>
                <w:kern w:val="0"/>
                <w:sz w:val="22"/>
                <w:szCs w:val="22"/>
                <w:lang w:val="en-US" w:eastAsia="zh-CN"/>
              </w:rPr>
              <w:t>90KW</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eastAsia="宋体"/>
                <w:color w:val="auto"/>
                <w:lang w:val="en-US" w:eastAsia="zh-CN"/>
              </w:rPr>
            </w:pPr>
            <w:r>
              <w:rPr>
                <w:rFonts w:hint="eastAsia" w:ascii="宋体" w:hAnsi="宋体" w:cs="宋体"/>
                <w:color w:val="auto"/>
                <w:szCs w:val="21"/>
                <w:lang w:val="en-US" w:eastAsia="zh-CN"/>
              </w:rPr>
              <w:t>破碎锤2台，</w:t>
            </w:r>
            <w:r>
              <w:rPr>
                <w:rFonts w:hint="eastAsia" w:cs="MS Mincho" w:asciiTheme="minorEastAsia" w:hAnsiTheme="minorEastAsia" w:eastAsiaTheme="minorEastAsia"/>
              </w:rPr>
              <w:t>打击频率</w:t>
            </w:r>
            <w:r>
              <w:rPr>
                <w:rFonts w:hint="eastAsia" w:ascii="宋体" w:hAnsi="宋体" w:cs="宋体"/>
                <w:color w:val="auto"/>
                <w:szCs w:val="21"/>
                <w:lang w:val="en-US" w:eastAsia="zh-CN"/>
              </w:rPr>
              <w:t>≥</w:t>
            </w:r>
            <w:r>
              <w:rPr>
                <w:rFonts w:hint="eastAsia" w:cs="MS Mincho" w:asciiTheme="minorEastAsia" w:hAnsiTheme="minorEastAsia" w:eastAsiaTheme="minorEastAsia"/>
              </w:rPr>
              <w:t>250bpm</w:t>
            </w:r>
            <w:r>
              <w:rPr>
                <w:rFonts w:hint="eastAsia" w:cs="MS Mincho" w:asciiTheme="minorEastAsia" w:hAnsiTheme="minorEastAsia"/>
                <w:lang w:eastAsia="zh-CN"/>
              </w:rPr>
              <w:t>，</w:t>
            </w:r>
            <w:r>
              <w:rPr>
                <w:rFonts w:hint="eastAsia" w:ascii="宋体" w:hAnsi="宋体" w:cs="宋体"/>
                <w:color w:val="auto"/>
                <w:szCs w:val="21"/>
                <w:lang w:val="en-US" w:eastAsia="zh-CN"/>
              </w:rPr>
              <w:t>与履带式挖掘机配套。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90天内到达</w:t>
            </w:r>
            <w:r>
              <w:rPr>
                <w:rFonts w:hint="eastAsia"/>
                <w:color w:val="auto"/>
              </w:rPr>
              <w:t>达</w:t>
            </w:r>
            <w:r>
              <w:rPr>
                <w:rFonts w:hint="eastAsia"/>
                <w:color w:val="auto"/>
                <w:lang w:val="en-US" w:eastAsia="zh-CN"/>
              </w:rPr>
              <w:t>吉布提港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3.投标人自2021年1月1日起至投标截止日止（以合同签订时间为准）在中国境内具有至少1个与本次招标货物类同的合同业绩（且单个合同总金额不低于50万美元或350万人民币）。</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5.投标人营业执照经营范围应包含工程机械设备生产或销售相关经营范围。</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最高限价（</w:t>
            </w:r>
            <w:r>
              <w:rPr>
                <w:rFonts w:hint="eastAsia" w:ascii="宋体" w:hAnsi="宋体" w:cs="宋体"/>
                <w:color w:val="auto"/>
                <w:szCs w:val="21"/>
                <w:lang w:val="en-US" w:eastAsia="zh-CN"/>
              </w:rPr>
              <w:t>CIF吉布提</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cs="宋体" w:eastAsiaTheme="minorEastAsia"/>
                <w:color w:val="auto"/>
                <w:szCs w:val="21"/>
                <w:lang w:eastAsia="zh-CN"/>
              </w:rPr>
            </w:pPr>
            <w:r>
              <w:rPr>
                <w:rFonts w:hint="eastAsia" w:ascii="宋体" w:hAnsi="宋体" w:cs="宋体"/>
                <w:color w:val="auto"/>
                <w:kern w:val="0"/>
                <w:sz w:val="20"/>
                <w:szCs w:val="20"/>
                <w:highlight w:val="none"/>
                <w:lang w:val="en-US" w:eastAsia="zh-CN" w:bidi="ar"/>
              </w:rPr>
              <w:t>总限价：477,000美元（报价为CIF吉布提到港价）其中履带式挖掘机170,000美元/台、轮胎挖掘机95,000美元/台、破碎锤21,000美元/台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w:t>
            </w:r>
            <w:r>
              <w:rPr>
                <w:rFonts w:hint="eastAsia"/>
                <w:color w:val="0000FF"/>
                <w:lang w:val="en-US" w:eastAsia="zh-CN"/>
              </w:rPr>
              <w:t>7</w:t>
            </w:r>
            <w:r>
              <w:rPr>
                <w:rFonts w:hint="eastAsia"/>
                <w:color w:val="0000FF"/>
              </w:rPr>
              <w:t>0,000.00元人民币或</w:t>
            </w:r>
            <w:r>
              <w:rPr>
                <w:rFonts w:hint="eastAsia"/>
                <w:color w:val="0000FF"/>
                <w:lang w:val="en-US" w:eastAsia="zh-CN"/>
              </w:rPr>
              <w:t>10</w:t>
            </w:r>
            <w:r>
              <w:rPr>
                <w:rFonts w:hint="eastAsia"/>
                <w:color w:val="0000FF"/>
              </w:rPr>
              <w:t>,</w:t>
            </w:r>
            <w:r>
              <w:rPr>
                <w:rFonts w:hint="eastAsia"/>
                <w:color w:val="0000FF"/>
                <w:lang w:val="en-US" w:eastAsia="zh-CN"/>
              </w:rPr>
              <w:t>0</w:t>
            </w:r>
            <w:r>
              <w:rPr>
                <w:rFonts w:hint="eastAsia"/>
                <w:color w:val="0000FF"/>
              </w:rPr>
              <w:t>00.00美元。</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投标保证金有效期：投标截止之日起90日内。</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账户名：重庆对外建设（集团）有限公司</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开户行：重庆农村商业银行两江分行</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账  号：5101010120010001423</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pageBreakBefore w:val="0"/>
              <w:widowControl w:val="0"/>
              <w:kinsoku/>
              <w:wordWrap/>
              <w:overflowPunct/>
              <w:topLinePunct w:val="0"/>
              <w:autoSpaceDE/>
              <w:autoSpaceDN/>
              <w:bidi w:val="0"/>
              <w:adjustRightInd/>
              <w:spacing w:line="320" w:lineRule="exact"/>
              <w:ind w:left="13" w:leftChars="6"/>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2" w:lineRule="atLeas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1.签订合同后，招标人向中标人支付合同金额的20%作为预付款（合同生效），中标人向招标人开具同等预付款金额保函（招标人在收到提单原件后保函自动失效）。</w:t>
            </w:r>
          </w:p>
          <w:p>
            <w:pPr>
              <w:keepNext w:val="0"/>
              <w:keepLines w:val="0"/>
              <w:pageBreakBefore w:val="0"/>
              <w:widowControl w:val="0"/>
              <w:kinsoku/>
              <w:wordWrap/>
              <w:overflowPunct/>
              <w:topLinePunct w:val="0"/>
              <w:autoSpaceDE/>
              <w:autoSpaceDN/>
              <w:bidi w:val="0"/>
              <w:adjustRightInd/>
              <w:snapToGrid/>
              <w:spacing w:line="12" w:lineRule="atLeast"/>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2.设备发货后收到提单原件10个工作日内支付合同金额的40%。</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Theme="minorHAnsi" w:hAnsiTheme="minorHAnsi" w:eastAsiaTheme="minorEastAsia" w:cstheme="minorBidi"/>
                <w:b w:val="0"/>
                <w:bCs w:val="0"/>
                <w:kern w:val="2"/>
                <w:sz w:val="21"/>
                <w:szCs w:val="24"/>
                <w:lang w:val="en-US" w:eastAsia="zh-CN" w:bidi="ar-SA"/>
              </w:rPr>
              <w:t>3.合同生效后</w:t>
            </w:r>
            <w:r>
              <w:rPr>
                <w:rFonts w:hint="eastAsia" w:cstheme="minorBidi"/>
                <w:b w:val="0"/>
                <w:bCs w:val="0"/>
                <w:kern w:val="2"/>
                <w:sz w:val="21"/>
                <w:szCs w:val="24"/>
                <w:lang w:val="en-US" w:eastAsia="zh-CN" w:bidi="ar-SA"/>
              </w:rPr>
              <w:t>9</w:t>
            </w:r>
            <w:r>
              <w:rPr>
                <w:rFonts w:hint="eastAsia" w:asciiTheme="minorHAnsi" w:hAnsiTheme="minorHAnsi" w:eastAsiaTheme="minorEastAsia" w:cstheme="minorBidi"/>
                <w:b w:val="0"/>
                <w:bCs w:val="0"/>
                <w:kern w:val="2"/>
                <w:sz w:val="21"/>
                <w:szCs w:val="24"/>
                <w:lang w:val="en-US" w:eastAsia="zh-CN" w:bidi="ar-SA"/>
              </w:rPr>
              <w:t>0天内到达吉布提港，设备到港通知提货后10个工作日内支付合同金额的40%。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cs="Times New Roman" w:asciiTheme="minorEastAsia" w:hAnsiTheme="minorEastAsia"/>
                <w:color w:val="0000FF"/>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5</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7</w:t>
            </w:r>
            <w:r>
              <w:rPr>
                <w:rFonts w:hint="eastAsia" w:cs="Times New Roman" w:asciiTheme="minorEastAsia" w:hAnsiTheme="minorEastAsia"/>
                <w:color w:val="0000FF"/>
                <w:szCs w:val="21"/>
              </w:rPr>
              <w:t>日至</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5</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8</w:t>
            </w:r>
            <w:r>
              <w:rPr>
                <w:rFonts w:hint="eastAsia" w:cs="Times New Roman" w:asciiTheme="minorEastAsia" w:hAnsiTheme="minorEastAsia"/>
                <w:color w:val="0000FF"/>
                <w:szCs w:val="21"/>
              </w:rPr>
              <w:t>日</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cs="Times New Roman" w:asciiTheme="minorEastAsia" w:hAnsiTheme="minorEastAsia"/>
                <w:color w:val="auto"/>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both"/>
              <w:textAlignment w:val="auto"/>
              <w:rPr>
                <w:rFonts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pageBreakBefore w:val="0"/>
              <w:widowControl w:val="0"/>
              <w:kinsoku/>
              <w:wordWrap/>
              <w:overflowPunct/>
              <w:topLinePunct w:val="0"/>
              <w:autoSpaceDE/>
              <w:autoSpaceDN/>
              <w:bidi w:val="0"/>
              <w:adjustRightInd/>
              <w:snapToGrid w:val="0"/>
              <w:spacing w:line="320" w:lineRule="exact"/>
              <w:textAlignment w:val="auto"/>
              <w:rPr>
                <w:rFonts w:ascii="宋体" w:hAnsi="宋体" w:cs="宋体"/>
                <w:color w:val="auto"/>
                <w:szCs w:val="21"/>
              </w:rPr>
            </w:pPr>
            <w:r>
              <w:rPr>
                <w:rFonts w:hint="eastAsia" w:ascii="宋体" w:hAnsi="宋体" w:cs="宋体"/>
                <w:color w:val="0000FF"/>
                <w:szCs w:val="21"/>
                <w:lang w:eastAsia="zh-CN"/>
              </w:rPr>
              <w:t>截止</w:t>
            </w:r>
            <w:r>
              <w:rPr>
                <w:rFonts w:hint="eastAsia" w:ascii="宋体" w:hAnsi="宋体" w:cs="宋体"/>
                <w:color w:val="0000FF"/>
                <w:szCs w:val="21"/>
              </w:rPr>
              <w:t xml:space="preserve">时间: </w:t>
            </w:r>
            <w:r>
              <w:rPr>
                <w:rFonts w:hint="eastAsia" w:ascii="宋体" w:hAnsi="宋体" w:eastAsia="宋体" w:cs="宋体"/>
                <w:color w:val="0000FF"/>
                <w:szCs w:val="21"/>
                <w:u w:val="single"/>
              </w:rPr>
              <w:t xml:space="preserve"> </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5</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9</w:t>
            </w:r>
            <w:r>
              <w:rPr>
                <w:rFonts w:hint="eastAsia" w:ascii="宋体" w:hAnsi="宋体" w:eastAsia="宋体" w:cs="宋体"/>
                <w:color w:val="0000FF"/>
                <w:szCs w:val="21"/>
                <w:u w:val="single"/>
              </w:rPr>
              <w:t>日</w:t>
            </w:r>
            <w:r>
              <w:rPr>
                <w:rFonts w:hint="eastAsia" w:ascii="宋体" w:hAnsi="宋体" w:eastAsia="宋体" w:cs="宋体"/>
                <w:color w:val="0000FF"/>
                <w:szCs w:val="21"/>
                <w:u w:val="single"/>
                <w:lang w:val="en-US" w:eastAsia="zh-CN"/>
              </w:rPr>
              <w:t>15</w:t>
            </w:r>
            <w:r>
              <w:rPr>
                <w:rFonts w:hint="eastAsia" w:ascii="宋体" w:hAnsi="宋体" w:eastAsia="宋体" w:cs="宋体"/>
                <w:color w:val="0000FF"/>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eastAsia="宋体" w:cs="宋体"/>
                <w:color w:val="0000FF"/>
                <w:szCs w:val="21"/>
              </w:rPr>
              <w:t>开标时间:</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rPr>
              <w:t>年</w:t>
            </w:r>
            <w:r>
              <w:rPr>
                <w:rFonts w:hint="eastAsia" w:ascii="宋体" w:hAnsi="宋体" w:eastAsia="宋体" w:cs="宋体"/>
                <w:color w:val="0000FF"/>
                <w:szCs w:val="21"/>
                <w:lang w:val="en-US" w:eastAsia="zh-CN"/>
              </w:rPr>
              <w:t>5</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9</w:t>
            </w:r>
            <w:r>
              <w:rPr>
                <w:rFonts w:hint="eastAsia" w:ascii="宋体" w:hAnsi="宋体" w:eastAsia="宋体" w:cs="宋体"/>
                <w:color w:val="0000FF"/>
                <w:szCs w:val="21"/>
              </w:rPr>
              <w:t>日</w:t>
            </w:r>
            <w:r>
              <w:rPr>
                <w:rFonts w:hint="eastAsia" w:ascii="宋体" w:hAnsi="宋体" w:eastAsia="宋体" w:cs="宋体"/>
                <w:color w:val="0000FF"/>
                <w:szCs w:val="21"/>
                <w:u w:val="single"/>
              </w:rPr>
              <w:t>15</w:t>
            </w:r>
            <w:r>
              <w:rPr>
                <w:rFonts w:hint="eastAsia" w:ascii="宋体" w:hAnsi="宋体" w:eastAsia="宋体" w:cs="宋体"/>
                <w:color w:val="0000FF"/>
                <w:szCs w:val="21"/>
              </w:rPr>
              <w:t>时</w:t>
            </w:r>
            <w:r>
              <w:rPr>
                <w:rFonts w:hint="eastAsia" w:ascii="宋体" w:hAnsi="宋体" w:eastAsia="宋体" w:cs="宋体"/>
                <w:color w:val="0000FF"/>
                <w:szCs w:val="21"/>
                <w:u w:val="single"/>
              </w:rPr>
              <w:t>00</w:t>
            </w:r>
            <w:r>
              <w:rPr>
                <w:rFonts w:hint="eastAsia" w:ascii="宋体" w:hAnsi="宋体" w:eastAsia="宋体" w:cs="宋体"/>
                <w:color w:val="0000FF"/>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pageBreakBefore w:val="0"/>
              <w:widowControl w:val="0"/>
              <w:kinsoku/>
              <w:wordWrap/>
              <w:overflowPunct/>
              <w:topLinePunct w:val="0"/>
              <w:autoSpaceDE/>
              <w:autoSpaceDN/>
              <w:bidi w:val="0"/>
              <w:adjustRightInd/>
              <w:snapToGrid w:val="0"/>
              <w:spacing w:line="320" w:lineRule="exact"/>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一、投标文件资料</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（一）资格证明文件：</w:t>
            </w:r>
          </w:p>
          <w:p>
            <w:pPr>
              <w:pageBreakBefore w:val="0"/>
              <w:widowControl w:val="0"/>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50万美元或350万人民币）。合同相关页复印件（包含但不限于合同有效页复印件、合同签订各方名称、项目名称、合同签订时间等），业绩证明须盖投标人单位公章。</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numPr>
                <w:ilvl w:val="0"/>
                <w:numId w:val="0"/>
              </w:numPr>
              <w:kinsoku/>
              <w:wordWrap/>
              <w:overflowPunct/>
              <w:topLinePunct w:val="0"/>
              <w:autoSpaceDE/>
              <w:autoSpaceDN/>
              <w:bidi w:val="0"/>
              <w:adjustRightInd/>
              <w:snapToGrid w:val="0"/>
              <w:spacing w:line="320" w:lineRule="exact"/>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埃塞俄比亚分公司</w:t>
            </w:r>
            <w:r>
              <w:rPr>
                <w:rFonts w:hint="eastAsia" w:asciiTheme="minorHAnsi" w:hAnsiTheme="minorHAnsi" w:eastAsiaTheme="minorEastAsia" w:cstheme="minorBidi"/>
                <w:b w:val="0"/>
                <w:bCs w:val="0"/>
                <w:color w:val="auto"/>
                <w:kern w:val="2"/>
                <w:sz w:val="21"/>
                <w:szCs w:val="24"/>
                <w:lang w:val="en-US" w:eastAsia="zh-CN" w:bidi="ar-SA"/>
              </w:rPr>
              <w:t>，付款的币种为美元，投标人在投标截止时间前应具备签外币合同的资格，由此带来的风险由投标人自行承担。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r>
              <w:rPr>
                <w:rFonts w:hint="eastAsia" w:ascii="宋体" w:hAnsi="宋体" w:cs="宋体"/>
                <w:color w:val="auto"/>
              </w:rPr>
              <w:t>符</w:t>
            </w:r>
          </w:p>
          <w:p>
            <w:pPr>
              <w:rPr>
                <w:rFonts w:ascii="宋体" w:hAnsi="宋体" w:cs="宋体"/>
                <w:color w:val="auto"/>
              </w:rPr>
            </w:pPr>
            <w:r>
              <w:rPr>
                <w:rFonts w:hint="eastAsia" w:ascii="宋体" w:hAnsi="宋体" w:cs="宋体"/>
                <w:color w:val="auto"/>
              </w:rPr>
              <w:t>合</w:t>
            </w:r>
          </w:p>
          <w:p>
            <w:pPr>
              <w:rPr>
                <w:rFonts w:ascii="宋体" w:hAnsi="宋体" w:cs="宋体"/>
                <w:color w:val="auto"/>
              </w:rPr>
            </w:pPr>
            <w:r>
              <w:rPr>
                <w:rFonts w:hint="eastAsia" w:ascii="宋体" w:hAnsi="宋体" w:cs="宋体"/>
                <w:color w:val="auto"/>
              </w:rPr>
              <w:t>性</w:t>
            </w:r>
          </w:p>
          <w:p>
            <w:pPr>
              <w:rPr>
                <w:rFonts w:ascii="宋体" w:hAnsi="宋体" w:cs="宋体"/>
                <w:color w:val="auto"/>
              </w:rPr>
            </w:pPr>
            <w:r>
              <w:rPr>
                <w:rFonts w:hint="eastAsia" w:ascii="宋体" w:hAnsi="宋体" w:cs="宋体"/>
                <w:color w:val="auto"/>
              </w:rPr>
              <w:t>评</w:t>
            </w:r>
          </w:p>
          <w:p>
            <w:pPr>
              <w:rPr>
                <w:rFonts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rPr>
            </w:pPr>
            <w:r>
              <w:rPr>
                <w:rFonts w:hint="eastAsia" w:ascii="宋体" w:hAnsi="宋体" w:cs="宋体"/>
                <w:color w:val="auto"/>
              </w:rPr>
              <w:t>投标材料/设备</w:t>
            </w:r>
          </w:p>
          <w:p>
            <w:pPr>
              <w:jc w:val="center"/>
              <w:rPr>
                <w:rFonts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报价</w:t>
            </w:r>
          </w:p>
          <w:p>
            <w:pPr>
              <w:rPr>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s="宋体"/>
                <w:color w:val="auto"/>
              </w:rPr>
              <w:t>评审</w:t>
            </w:r>
          </w:p>
          <w:p>
            <w:pPr>
              <w:rPr>
                <w:rFonts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123786823"/>
      <w:bookmarkStart w:id="1" w:name="_Toc71877702"/>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w:t>
      </w:r>
      <w:r>
        <w:rPr>
          <w:rFonts w:hint="eastAsia" w:ascii="Times New Roman" w:hAnsi="Times New Roman" w:eastAsia="宋体" w:cs="Times New Roman"/>
          <w:color w:val="auto"/>
          <w:sz w:val="28"/>
          <w:szCs w:val="28"/>
          <w:lang w:val="en-US" w:eastAsia="zh-CN"/>
        </w:rPr>
        <w:t>运输、海洋</w:t>
      </w:r>
      <w:r>
        <w:rPr>
          <w:rFonts w:hint="eastAsia" w:ascii="Times New Roman" w:hAnsi="Times New Roman" w:eastAsia="宋体" w:cs="Times New Roman"/>
          <w:color w:val="auto"/>
          <w:sz w:val="28"/>
          <w:szCs w:val="28"/>
        </w:rPr>
        <w:t>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的内陆运输</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海洋运输</w:t>
      </w:r>
      <w:r>
        <w:rPr>
          <w:rFonts w:hint="eastAsia" w:ascii="Times New Roman" w:hAnsi="Times New Roman" w:eastAsia="宋体" w:cs="Times New Roman"/>
          <w:color w:val="auto"/>
          <w:sz w:val="28"/>
          <w:szCs w:val="28"/>
        </w:rPr>
        <w:t>、存放、损耗、保险、伴随货物安装调试和交付以及技术服务的有关费用。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35964"/>
      <w:bookmarkEnd w:id="2"/>
      <w:bookmarkStart w:id="3" w:name="_Hlt42923257"/>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t>合同范本</w:t>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drawing>
          <wp:inline distT="0" distB="0" distL="114300" distR="114300">
            <wp:extent cx="5263515" cy="7439660"/>
            <wp:effectExtent l="0" t="0" r="13335" b="8890"/>
            <wp:docPr id="8" name="图片 8" descr="合同采购范本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合同采购范本_0001"/>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lang w:eastAsia="zh-CN"/>
        </w:rPr>
        <w:drawing>
          <wp:inline distT="0" distB="0" distL="114300" distR="114300">
            <wp:extent cx="5263515" cy="7439660"/>
            <wp:effectExtent l="0" t="0" r="13335" b="8890"/>
            <wp:docPr id="7" name="图片 7" descr="合同采购范本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同采购范本_0002"/>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lang w:eastAsia="zh-CN"/>
        </w:rPr>
        <w:drawing>
          <wp:inline distT="0" distB="0" distL="114300" distR="114300">
            <wp:extent cx="5263515" cy="7439660"/>
            <wp:effectExtent l="0" t="0" r="13335" b="8890"/>
            <wp:docPr id="5" name="图片 5" descr="合同采购范本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同采购范本_0003"/>
                    <pic:cNvPicPr>
                      <a:picLocks noChangeAspect="1"/>
                    </pic:cNvPicPr>
                  </pic:nvPicPr>
                  <pic:blipFill>
                    <a:blip r:embed="rId8"/>
                    <a:stretch>
                      <a:fillRect/>
                    </a:stretch>
                  </pic:blipFill>
                  <pic:spPr>
                    <a:xfrm>
                      <a:off x="0" y="0"/>
                      <a:ext cx="5263515" cy="7439660"/>
                    </a:xfrm>
                    <a:prstGeom prst="rect">
                      <a:avLst/>
                    </a:prstGeom>
                  </pic:spPr>
                </pic:pic>
              </a:graphicData>
            </a:graphic>
          </wp:inline>
        </w:drawing>
      </w: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br w:type="page"/>
      </w:r>
      <w:bookmarkStart w:id="4" w:name="_Toc123786890"/>
      <w:bookmarkStart w:id="5" w:name="_Toc35342046"/>
      <w:bookmarkStart w:id="6" w:name="_Toc50864444"/>
      <w:bookmarkStart w:id="7" w:name="_Toc91392962"/>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挖掘机、破碎锤采购（第二次）</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埃塞俄比亚分公司LOT1-86.1KM项目挖掘机、破碎锤采购（第二次）</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埃塞俄比亚分公司LOT1-86.1KM项目挖掘机、破碎锤采购（第二次）</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22"/>
        <w:gridCol w:w="3168"/>
        <w:gridCol w:w="684"/>
        <w:gridCol w:w="636"/>
        <w:gridCol w:w="1140"/>
        <w:gridCol w:w="1212"/>
        <w:gridCol w:w="1152"/>
        <w:gridCol w:w="1248"/>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2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522"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3168"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684"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752"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报价（CIF吉布提）</w:t>
            </w:r>
          </w:p>
        </w:tc>
        <w:tc>
          <w:tcPr>
            <w:tcW w:w="14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522"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168"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84"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36" w:type="dxa"/>
            <w:vMerge w:val="continue"/>
            <w:tcBorders>
              <w:left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35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40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436" w:type="dxa"/>
            <w:vMerge w:val="continue"/>
            <w:tcBorders>
              <w:left w:val="nil"/>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522" w:type="dxa"/>
            <w:vMerge w:val="continue"/>
            <w:tcBorders>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168"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84"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636"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1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2"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436" w:type="dxa"/>
            <w:vMerge w:val="continue"/>
            <w:tcBorders>
              <w:left w:val="nil"/>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52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履带式挖掘机</w:t>
            </w:r>
          </w:p>
        </w:tc>
        <w:tc>
          <w:tcPr>
            <w:tcW w:w="3168" w:type="dxa"/>
            <w:tcBorders>
              <w:top w:val="nil"/>
              <w:left w:val="nil"/>
              <w:bottom w:val="single" w:color="000000" w:sz="8" w:space="0"/>
              <w:right w:val="single" w:color="000000" w:sz="8" w:space="0"/>
            </w:tcBorders>
            <w:shd w:val="clear" w:color="auto" w:fill="auto"/>
            <w:vAlign w:val="center"/>
          </w:tcPr>
          <w:p>
            <w:pPr>
              <w:pageBreakBefore w:val="0"/>
              <w:widowControl w:val="0"/>
              <w:kinsoku/>
              <w:wordWrap/>
              <w:overflowPunct/>
              <w:topLinePunct w:val="0"/>
              <w:autoSpaceDE/>
              <w:autoSpaceDN/>
              <w:bidi w:val="0"/>
              <w:adjustRightInd/>
              <w:snapToGrid w:val="0"/>
              <w:spacing w:line="320" w:lineRule="exact"/>
              <w:jc w:val="left"/>
              <w:textAlignment w:val="auto"/>
              <w:rPr>
                <w:rFonts w:hint="default"/>
                <w:color w:val="auto"/>
                <w:lang w:val="en-US" w:eastAsia="zh-CN"/>
              </w:rPr>
            </w:pPr>
            <w:r>
              <w:rPr>
                <w:rFonts w:hint="eastAsia" w:ascii="宋体" w:hAnsi="宋体" w:cs="宋体"/>
                <w:color w:val="auto"/>
                <w:szCs w:val="21"/>
                <w:lang w:val="en-US" w:eastAsia="zh-CN"/>
              </w:rPr>
              <w:t>工作质量≥30000kg，斗容量≥1.6m³，发动机</w:t>
            </w:r>
            <w:r>
              <w:rPr>
                <w:rFonts w:hint="eastAsia" w:cs="宋体" w:asciiTheme="minorEastAsia" w:hAnsiTheme="minorEastAsia" w:eastAsiaTheme="minorEastAsia"/>
                <w:kern w:val="0"/>
                <w:sz w:val="22"/>
                <w:szCs w:val="22"/>
              </w:rPr>
              <w:t>额定功率</w:t>
            </w:r>
            <w:r>
              <w:rPr>
                <w:rFonts w:hint="eastAsia" w:ascii="宋体" w:hAnsi="宋体" w:cs="宋体"/>
                <w:color w:val="auto"/>
                <w:szCs w:val="21"/>
                <w:lang w:val="en-US" w:eastAsia="zh-CN"/>
              </w:rPr>
              <w:t>≥</w:t>
            </w:r>
            <w:r>
              <w:rPr>
                <w:rFonts w:hint="eastAsia" w:cs="宋体" w:asciiTheme="minorEastAsia" w:hAnsiTheme="minorEastAsia"/>
                <w:kern w:val="0"/>
                <w:sz w:val="22"/>
                <w:szCs w:val="22"/>
                <w:lang w:val="en-US" w:eastAsia="zh-CN"/>
              </w:rPr>
              <w:t>190KW</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2</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170,000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340,000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436"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52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轮式挖掘机</w:t>
            </w:r>
          </w:p>
        </w:tc>
        <w:tc>
          <w:tcPr>
            <w:tcW w:w="3168" w:type="dxa"/>
            <w:tcBorders>
              <w:top w:val="nil"/>
              <w:left w:val="nil"/>
              <w:bottom w:val="single" w:color="000000" w:sz="8" w:space="0"/>
              <w:right w:val="single" w:color="000000" w:sz="8"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rPr>
                <w:rFonts w:hint="eastAsia"/>
                <w:color w:val="auto"/>
                <w:lang w:val="en-US" w:eastAsia="zh-CN"/>
              </w:rPr>
            </w:pPr>
            <w:r>
              <w:rPr>
                <w:rFonts w:hint="eastAsia" w:ascii="宋体" w:hAnsi="宋体" w:cs="宋体"/>
                <w:color w:val="auto"/>
                <w:szCs w:val="21"/>
                <w:lang w:val="en-US" w:eastAsia="zh-CN"/>
              </w:rPr>
              <w:t>工作质量≥13500kg，斗容量≥0.65m³，发动机</w:t>
            </w:r>
            <w:r>
              <w:rPr>
                <w:rFonts w:hint="eastAsia" w:cs="宋体" w:asciiTheme="minorEastAsia" w:hAnsiTheme="minorEastAsia" w:eastAsiaTheme="minorEastAsia"/>
                <w:kern w:val="0"/>
                <w:sz w:val="22"/>
                <w:szCs w:val="22"/>
              </w:rPr>
              <w:t>额定功率</w:t>
            </w:r>
            <w:r>
              <w:rPr>
                <w:rFonts w:hint="eastAsia" w:ascii="宋体" w:hAnsi="宋体" w:cs="宋体"/>
                <w:color w:val="auto"/>
                <w:szCs w:val="21"/>
                <w:lang w:val="en-US" w:eastAsia="zh-CN"/>
              </w:rPr>
              <w:t>≥</w:t>
            </w:r>
            <w:r>
              <w:rPr>
                <w:rFonts w:hint="eastAsia" w:cs="宋体" w:asciiTheme="minorEastAsia" w:hAnsiTheme="minorEastAsia"/>
                <w:kern w:val="0"/>
                <w:sz w:val="22"/>
                <w:szCs w:val="22"/>
                <w:lang w:val="en-US" w:eastAsia="zh-CN"/>
              </w:rPr>
              <w:t>90KW</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1</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95,000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95,000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3</w:t>
            </w:r>
          </w:p>
        </w:tc>
        <w:tc>
          <w:tcPr>
            <w:tcW w:w="152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破碎锤</w:t>
            </w:r>
          </w:p>
        </w:tc>
        <w:tc>
          <w:tcPr>
            <w:tcW w:w="3168" w:type="dxa"/>
            <w:tcBorders>
              <w:top w:val="nil"/>
              <w:left w:val="nil"/>
              <w:bottom w:val="single" w:color="000000" w:sz="8" w:space="0"/>
              <w:right w:val="single" w:color="000000" w:sz="8"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center"/>
              <w:rPr>
                <w:rFonts w:hint="eastAsia"/>
                <w:color w:val="auto"/>
                <w:lang w:val="en-US" w:eastAsia="zh-CN"/>
              </w:rPr>
            </w:pPr>
            <w:r>
              <w:rPr>
                <w:rFonts w:hint="eastAsia" w:cs="MS Mincho" w:asciiTheme="minorEastAsia" w:hAnsiTheme="minorEastAsia" w:eastAsiaTheme="minorEastAsia"/>
              </w:rPr>
              <w:t>打击频率</w:t>
            </w:r>
            <w:r>
              <w:rPr>
                <w:rFonts w:hint="eastAsia" w:ascii="宋体" w:hAnsi="宋体" w:cs="宋体"/>
                <w:color w:val="auto"/>
                <w:szCs w:val="21"/>
                <w:lang w:val="en-US" w:eastAsia="zh-CN"/>
              </w:rPr>
              <w:t>≥</w:t>
            </w:r>
            <w:r>
              <w:rPr>
                <w:rFonts w:hint="eastAsia" w:cs="MS Mincho" w:asciiTheme="minorEastAsia" w:hAnsiTheme="minorEastAsia" w:eastAsiaTheme="minorEastAsia"/>
              </w:rPr>
              <w:t>250bpm</w:t>
            </w:r>
            <w:r>
              <w:rPr>
                <w:rFonts w:hint="eastAsia" w:cs="MS Mincho" w:asciiTheme="minorEastAsia" w:hAnsiTheme="minorEastAsia"/>
                <w:lang w:eastAsia="zh-CN"/>
              </w:rPr>
              <w:t>，</w:t>
            </w:r>
            <w:r>
              <w:rPr>
                <w:rFonts w:hint="eastAsia" w:ascii="宋体" w:hAnsi="宋体" w:cs="宋体"/>
                <w:color w:val="auto"/>
                <w:szCs w:val="21"/>
                <w:lang w:val="en-US" w:eastAsia="zh-CN"/>
              </w:rPr>
              <w:t>与履带式挖掘机配套。</w:t>
            </w:r>
          </w:p>
        </w:tc>
        <w:tc>
          <w:tcPr>
            <w:tcW w:w="68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21,000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42,000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3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大写：</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挖掘机、破碎锤采购（第二次</w:t>
      </w:r>
      <w:bookmarkStart w:id="9" w:name="_GoBack"/>
      <w:bookmarkEnd w:id="9"/>
      <w:r>
        <w:rPr>
          <w:rFonts w:hint="eastAsia" w:ascii="黑体" w:hAnsi="宋体" w:eastAsia="黑体"/>
          <w:b/>
          <w:color w:val="auto"/>
          <w:sz w:val="44"/>
          <w:szCs w:val="44"/>
          <w:lang w:val="en-US" w:eastAsia="zh-CN"/>
        </w:rPr>
        <w:t>）</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22003D"/>
    <w:rsid w:val="04435645"/>
    <w:rsid w:val="04D87199"/>
    <w:rsid w:val="058C28EB"/>
    <w:rsid w:val="06072DC9"/>
    <w:rsid w:val="06DE4E9C"/>
    <w:rsid w:val="07C577DF"/>
    <w:rsid w:val="0888682C"/>
    <w:rsid w:val="0B594D69"/>
    <w:rsid w:val="0CA747A8"/>
    <w:rsid w:val="0D4E40CA"/>
    <w:rsid w:val="0E855EB9"/>
    <w:rsid w:val="0F920FDE"/>
    <w:rsid w:val="123E1008"/>
    <w:rsid w:val="1289431C"/>
    <w:rsid w:val="13993680"/>
    <w:rsid w:val="142F2651"/>
    <w:rsid w:val="146148C0"/>
    <w:rsid w:val="14C50C7A"/>
    <w:rsid w:val="162055D1"/>
    <w:rsid w:val="170718FA"/>
    <w:rsid w:val="191A481D"/>
    <w:rsid w:val="19B944DB"/>
    <w:rsid w:val="19C30622"/>
    <w:rsid w:val="1A317604"/>
    <w:rsid w:val="1B9F48EE"/>
    <w:rsid w:val="1BBA61B5"/>
    <w:rsid w:val="1C46394C"/>
    <w:rsid w:val="1C8B27CB"/>
    <w:rsid w:val="1E2F4B2A"/>
    <w:rsid w:val="1F41294A"/>
    <w:rsid w:val="1F7B1DC6"/>
    <w:rsid w:val="204847FF"/>
    <w:rsid w:val="20C213DD"/>
    <w:rsid w:val="24241DCB"/>
    <w:rsid w:val="25F25DEC"/>
    <w:rsid w:val="268E700C"/>
    <w:rsid w:val="27A43B73"/>
    <w:rsid w:val="27B63E38"/>
    <w:rsid w:val="28425D08"/>
    <w:rsid w:val="28A70638"/>
    <w:rsid w:val="290A4130"/>
    <w:rsid w:val="29367196"/>
    <w:rsid w:val="2A6B592D"/>
    <w:rsid w:val="2B2662B7"/>
    <w:rsid w:val="2B692DE3"/>
    <w:rsid w:val="2B965F4E"/>
    <w:rsid w:val="32AC094E"/>
    <w:rsid w:val="335A1FE3"/>
    <w:rsid w:val="33DE3588"/>
    <w:rsid w:val="357A7F6F"/>
    <w:rsid w:val="361F1CFE"/>
    <w:rsid w:val="364932E5"/>
    <w:rsid w:val="3706421C"/>
    <w:rsid w:val="37074372"/>
    <w:rsid w:val="39001ED6"/>
    <w:rsid w:val="3AF13EEA"/>
    <w:rsid w:val="3B7E109A"/>
    <w:rsid w:val="3BA02C0F"/>
    <w:rsid w:val="3C736183"/>
    <w:rsid w:val="3FCE63A8"/>
    <w:rsid w:val="3FDF29BB"/>
    <w:rsid w:val="401C6BA0"/>
    <w:rsid w:val="412413C5"/>
    <w:rsid w:val="425B62EF"/>
    <w:rsid w:val="43246B24"/>
    <w:rsid w:val="4376767A"/>
    <w:rsid w:val="44C17F3A"/>
    <w:rsid w:val="46B93336"/>
    <w:rsid w:val="47935A3B"/>
    <w:rsid w:val="4981020E"/>
    <w:rsid w:val="4B452A5F"/>
    <w:rsid w:val="4BEB6533"/>
    <w:rsid w:val="4C063219"/>
    <w:rsid w:val="4D99566D"/>
    <w:rsid w:val="50D25461"/>
    <w:rsid w:val="52581843"/>
    <w:rsid w:val="536A10A2"/>
    <w:rsid w:val="553B6A06"/>
    <w:rsid w:val="55571485"/>
    <w:rsid w:val="57167B8A"/>
    <w:rsid w:val="59466789"/>
    <w:rsid w:val="5B0121AC"/>
    <w:rsid w:val="5D1847EB"/>
    <w:rsid w:val="5D703128"/>
    <w:rsid w:val="5E1C286C"/>
    <w:rsid w:val="5E7340E1"/>
    <w:rsid w:val="5FE4448E"/>
    <w:rsid w:val="603B13E0"/>
    <w:rsid w:val="60C244C1"/>
    <w:rsid w:val="61F77E83"/>
    <w:rsid w:val="62706C3A"/>
    <w:rsid w:val="62985C99"/>
    <w:rsid w:val="64562AA8"/>
    <w:rsid w:val="64B760DF"/>
    <w:rsid w:val="657918E5"/>
    <w:rsid w:val="65E55D01"/>
    <w:rsid w:val="670C5884"/>
    <w:rsid w:val="672655FA"/>
    <w:rsid w:val="6780684F"/>
    <w:rsid w:val="67B41C05"/>
    <w:rsid w:val="69E20B1E"/>
    <w:rsid w:val="6ABF4656"/>
    <w:rsid w:val="6D4F64CA"/>
    <w:rsid w:val="6E852136"/>
    <w:rsid w:val="6F1F5272"/>
    <w:rsid w:val="6FF06A42"/>
    <w:rsid w:val="71B36515"/>
    <w:rsid w:val="722574C1"/>
    <w:rsid w:val="746601EA"/>
    <w:rsid w:val="748A0073"/>
    <w:rsid w:val="76022E66"/>
    <w:rsid w:val="78300507"/>
    <w:rsid w:val="7A7E0C5F"/>
    <w:rsid w:val="7AE67BFA"/>
    <w:rsid w:val="7BE652BA"/>
    <w:rsid w:val="7CB04544"/>
    <w:rsid w:val="7D764FDF"/>
    <w:rsid w:val="7ECE61D4"/>
    <w:rsid w:val="7F196938"/>
    <w:rsid w:val="7F49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8122</Words>
  <Characters>8797</Characters>
  <Lines>215</Lines>
  <Paragraphs>60</Paragraphs>
  <TotalTime>18</TotalTime>
  <ScaleCrop>false</ScaleCrop>
  <LinksUpToDate>false</LinksUpToDate>
  <CharactersWithSpaces>9639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2024-04-12T09:29:00Z</cp:lastPrinted>
  <dcterms:modified xsi:type="dcterms:W3CDTF">2024-05-06T07:51:35Z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7C680E401ABB48BCB6DF39F140C2054D_13</vt:lpwstr>
  </property>
</Properties>
</file>